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D56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12F91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306EB">
        <w:rPr>
          <w:rFonts w:ascii="Times New Roman" w:hAnsi="Times New Roman" w:cs="Times New Roman"/>
          <w:b/>
          <w:sz w:val="24"/>
          <w:szCs w:val="24"/>
        </w:rPr>
        <w:t>проекту корректировки инвестиционной программы</w:t>
      </w:r>
    </w:p>
    <w:p w:rsidR="00B22D56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>ООО «Газпром энерго»</w:t>
      </w:r>
      <w:r w:rsidR="00330663" w:rsidRPr="001F1473">
        <w:rPr>
          <w:rFonts w:ascii="Times New Roman" w:hAnsi="Times New Roman" w:cs="Times New Roman"/>
          <w:b/>
          <w:sz w:val="24"/>
          <w:szCs w:val="24"/>
        </w:rPr>
        <w:t xml:space="preserve"> в лице Центрального филиала</w:t>
      </w:r>
      <w:r w:rsidR="00B22D56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B22D56" w:rsidRDefault="00B22D56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утвержденной распоряжением Правительства Тульской области от 04.10.2021 № 504-р (ред. от </w:t>
      </w:r>
      <w:r w:rsidR="00FE7C44">
        <w:rPr>
          <w:rFonts w:ascii="Times New Roman" w:hAnsi="Times New Roman" w:cs="Times New Roman"/>
          <w:b/>
          <w:sz w:val="24"/>
          <w:szCs w:val="24"/>
        </w:rPr>
        <w:t>10.08.2023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E7C44">
        <w:rPr>
          <w:rFonts w:ascii="Times New Roman" w:hAnsi="Times New Roman" w:cs="Times New Roman"/>
          <w:b/>
          <w:sz w:val="24"/>
          <w:szCs w:val="24"/>
        </w:rPr>
        <w:t>443</w:t>
      </w:r>
      <w:r>
        <w:rPr>
          <w:rFonts w:ascii="Times New Roman" w:hAnsi="Times New Roman" w:cs="Times New Roman"/>
          <w:b/>
          <w:sz w:val="24"/>
          <w:szCs w:val="24"/>
        </w:rPr>
        <w:t>-р)</w:t>
      </w:r>
    </w:p>
    <w:p w:rsidR="000C2673" w:rsidRDefault="004306EB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2022-2026</w:t>
      </w:r>
      <w:r w:rsidR="00B22D56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A3C22" w:rsidRDefault="00B22D56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реализации и</w:t>
      </w:r>
      <w:r w:rsidR="001A3C22">
        <w:rPr>
          <w:rFonts w:ascii="Times New Roman" w:hAnsi="Times New Roman" w:cs="Times New Roman"/>
          <w:b/>
          <w:sz w:val="24"/>
          <w:szCs w:val="24"/>
        </w:rPr>
        <w:t xml:space="preserve">нвестиционного проекта </w:t>
      </w:r>
      <w:r w:rsidR="005D084C">
        <w:rPr>
          <w:rFonts w:ascii="Times New Roman" w:hAnsi="Times New Roman" w:cs="Times New Roman"/>
          <w:b/>
          <w:sz w:val="24"/>
          <w:szCs w:val="24"/>
        </w:rPr>
        <w:t>на 202</w:t>
      </w:r>
      <w:r w:rsidR="00675441">
        <w:rPr>
          <w:rFonts w:ascii="Times New Roman" w:hAnsi="Times New Roman" w:cs="Times New Roman"/>
          <w:b/>
          <w:sz w:val="24"/>
          <w:szCs w:val="24"/>
        </w:rPr>
        <w:t>4</w:t>
      </w:r>
      <w:r w:rsidR="005D084C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1A3C22" w:rsidRDefault="005D084C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75441">
        <w:rPr>
          <w:rFonts w:ascii="Times New Roman" w:hAnsi="Times New Roman" w:cs="Times New Roman"/>
          <w:b/>
          <w:sz w:val="24"/>
          <w:szCs w:val="24"/>
        </w:rPr>
        <w:t>Приобретение специализированного грузового автотранспорта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1A3C22">
        <w:rPr>
          <w:rFonts w:ascii="Times New Roman" w:hAnsi="Times New Roman" w:cs="Times New Roman"/>
          <w:b/>
          <w:sz w:val="24"/>
          <w:szCs w:val="24"/>
        </w:rPr>
        <w:t>,</w:t>
      </w:r>
    </w:p>
    <w:p w:rsidR="001A3C22" w:rsidRPr="001F1473" w:rsidRDefault="001A3C22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идентификатор инвестицион</w:t>
      </w:r>
      <w:r w:rsidRPr="001A3C22">
        <w:rPr>
          <w:rFonts w:ascii="Times New Roman" w:hAnsi="Times New Roman" w:cs="Times New Roman"/>
          <w:b/>
          <w:sz w:val="24"/>
          <w:szCs w:val="24"/>
        </w:rPr>
        <w:t>ного проекта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3091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="00157000">
        <w:rPr>
          <w:rFonts w:ascii="Times New Roman" w:hAnsi="Times New Roman" w:cs="Times New Roman"/>
          <w:b/>
          <w:sz w:val="24"/>
          <w:szCs w:val="24"/>
        </w:rPr>
        <w:t>_</w:t>
      </w:r>
      <w:r w:rsidR="00675441">
        <w:rPr>
          <w:rFonts w:ascii="Times New Roman" w:hAnsi="Times New Roman" w:cs="Times New Roman"/>
          <w:b/>
          <w:sz w:val="24"/>
          <w:szCs w:val="24"/>
          <w:lang w:val="en-US"/>
        </w:rPr>
        <w:t>AVTO</w:t>
      </w:r>
      <w:r w:rsidR="00675441" w:rsidRPr="00675441">
        <w:rPr>
          <w:rFonts w:ascii="Times New Roman" w:hAnsi="Times New Roman" w:cs="Times New Roman"/>
          <w:b/>
          <w:sz w:val="24"/>
          <w:szCs w:val="24"/>
        </w:rPr>
        <w:t>/2</w:t>
      </w:r>
      <w:r w:rsidR="00157000">
        <w:rPr>
          <w:rFonts w:ascii="Times New Roman" w:hAnsi="Times New Roman" w:cs="Times New Roman"/>
          <w:b/>
          <w:sz w:val="24"/>
          <w:szCs w:val="24"/>
        </w:rPr>
        <w:t>4</w:t>
      </w: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74E" w:rsidRDefault="007B574E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8E76D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>г. Серпухов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77070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76D5" w:rsidRPr="001F1473" w:rsidRDefault="008E76D5" w:rsidP="005F3684">
          <w:pPr>
            <w:pStyle w:val="ae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7625C7" w:rsidRDefault="008E76D5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F1473">
            <w:fldChar w:fldCharType="begin"/>
          </w:r>
          <w:r w:rsidRPr="001F1473">
            <w:instrText xml:space="preserve"> TOC \o "1-3" \h \z \u </w:instrText>
          </w:r>
          <w:r w:rsidRPr="001F1473">
            <w:fldChar w:fldCharType="separate"/>
          </w:r>
          <w:hyperlink w:anchor="_Toc137634266" w:history="1">
            <w:r w:rsidR="007625C7" w:rsidRPr="00BF319D">
              <w:rPr>
                <w:rStyle w:val="a6"/>
                <w:noProof/>
              </w:rPr>
              <w:t>Введение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_Toc137634266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3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7625C7" w:rsidRDefault="00E21903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634267" w:history="1">
            <w:r w:rsidR="007625C7" w:rsidRPr="00BF319D">
              <w:rPr>
                <w:rStyle w:val="a6"/>
                <w:b/>
                <w:bCs/>
                <w:noProof/>
                <w:kern w:val="36"/>
              </w:rPr>
              <w:t>1.</w:t>
            </w:r>
            <w:r w:rsidR="007625C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625C7" w:rsidRPr="00BF319D">
              <w:rPr>
                <w:rStyle w:val="a6"/>
                <w:b/>
                <w:bCs/>
                <w:noProof/>
                <w:kern w:val="36"/>
              </w:rPr>
              <w:t>Обоснование реализации мероприятия по Инвестиционной программе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_Toc137634267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4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7625C7" w:rsidRDefault="00E21903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634268" w:history="1">
            <w:r w:rsidR="007625C7" w:rsidRPr="00BF319D">
              <w:rPr>
                <w:rStyle w:val="a6"/>
                <w:b/>
                <w:noProof/>
              </w:rPr>
              <w:t>«Приобретение специализированного грузового автотранспорта»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_Toc137634268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4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7625C7" w:rsidRDefault="00E21903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634269" w:history="1">
            <w:r w:rsidR="007625C7" w:rsidRPr="00BF319D">
              <w:rPr>
                <w:rStyle w:val="a6"/>
                <w:b/>
                <w:noProof/>
              </w:rPr>
              <w:t>2.</w:t>
            </w:r>
            <w:r w:rsidR="007625C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625C7" w:rsidRPr="00BF319D">
              <w:rPr>
                <w:rStyle w:val="a6"/>
                <w:b/>
                <w:noProof/>
              </w:rPr>
              <w:t xml:space="preserve">Порядок расчета количественных показателей </w:t>
            </w:r>
            <w:r w:rsidR="007625C7" w:rsidRPr="00BF319D">
              <w:rPr>
                <w:rStyle w:val="a6"/>
                <w:b/>
                <w:bCs/>
                <w:noProof/>
                <w:kern w:val="36"/>
              </w:rPr>
              <w:t xml:space="preserve">мероприятия по Инвестиционной программе </w:t>
            </w:r>
            <w:r w:rsidR="007625C7" w:rsidRPr="00BF319D">
              <w:rPr>
                <w:rStyle w:val="a6"/>
                <w:b/>
                <w:noProof/>
              </w:rPr>
              <w:t>«Приобретение специализированного грузового автотранспорта»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_Toc137634269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4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7625C7" w:rsidRDefault="00E21903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634270" w:history="1">
            <w:r w:rsidR="007625C7" w:rsidRPr="00BF319D">
              <w:rPr>
                <w:rStyle w:val="a6"/>
                <w:b/>
                <w:noProof/>
              </w:rPr>
              <w:t>3.</w:t>
            </w:r>
            <w:r w:rsidR="007625C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625C7" w:rsidRPr="00BF319D">
              <w:rPr>
                <w:rStyle w:val="a6"/>
                <w:b/>
                <w:noProof/>
              </w:rPr>
              <w:t>Информация, указанная в абзацах 12-18 стандартов раскрытия информации субъектами оптового и розничных рынков электрической энергии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_Toc137634270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5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7625C7" w:rsidRDefault="00E21903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634271" w:history="1">
            <w:r w:rsidR="007625C7" w:rsidRPr="00BF319D">
              <w:rPr>
                <w:rStyle w:val="a6"/>
                <w:b/>
                <w:noProof/>
              </w:rPr>
              <w:t>4.</w:t>
            </w:r>
            <w:r w:rsidR="007625C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625C7" w:rsidRPr="00BF319D">
              <w:rPr>
                <w:rStyle w:val="a6"/>
                <w:b/>
                <w:noProof/>
              </w:rPr>
              <w:t>Заключение о целях и результатах выполнения инвестиционных проектов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_Toc137634271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6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7625C7" w:rsidRDefault="00E21903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634272" w:history="1">
            <w:r w:rsidR="007625C7" w:rsidRPr="00BF319D">
              <w:rPr>
                <w:rStyle w:val="a6"/>
                <w:rFonts w:eastAsiaTheme="minorHAnsi"/>
                <w:b/>
                <w:noProof/>
                <w:lang w:eastAsia="en-US"/>
              </w:rPr>
              <w:t>5.</w:t>
            </w:r>
            <w:r w:rsidR="007625C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625C7" w:rsidRPr="00BF319D">
              <w:rPr>
                <w:rStyle w:val="a6"/>
                <w:rFonts w:eastAsiaTheme="minorHAnsi"/>
                <w:b/>
                <w:noProof/>
                <w:lang w:eastAsia="en-US"/>
              </w:rPr>
              <w:t>Контроль за реализацией инвестиционной программы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_Toc137634272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6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7625C7" w:rsidRDefault="00E21903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634273" w:history="1">
            <w:r w:rsidR="007625C7" w:rsidRPr="00BF319D">
              <w:rPr>
                <w:rStyle w:val="a6"/>
                <w:rFonts w:eastAsiaTheme="minorHAnsi"/>
                <w:b/>
                <w:noProof/>
                <w:lang w:eastAsia="en-US"/>
              </w:rPr>
              <w:t>Заключение</w:t>
            </w:r>
            <w:r w:rsidR="007625C7">
              <w:rPr>
                <w:noProof/>
                <w:webHidden/>
              </w:rPr>
              <w:tab/>
            </w:r>
            <w:r w:rsidR="007625C7">
              <w:rPr>
                <w:noProof/>
                <w:webHidden/>
              </w:rPr>
              <w:fldChar w:fldCharType="begin"/>
            </w:r>
            <w:r w:rsidR="007625C7">
              <w:rPr>
                <w:noProof/>
                <w:webHidden/>
              </w:rPr>
              <w:instrText xml:space="preserve"> PAGEREF _Toc137634273 \h </w:instrText>
            </w:r>
            <w:r w:rsidR="007625C7">
              <w:rPr>
                <w:noProof/>
                <w:webHidden/>
              </w:rPr>
            </w:r>
            <w:r w:rsidR="007625C7">
              <w:rPr>
                <w:noProof/>
                <w:webHidden/>
              </w:rPr>
              <w:fldChar w:fldCharType="separate"/>
            </w:r>
            <w:r w:rsidR="007625C7">
              <w:rPr>
                <w:noProof/>
                <w:webHidden/>
              </w:rPr>
              <w:t>7</w:t>
            </w:r>
            <w:r w:rsidR="007625C7">
              <w:rPr>
                <w:noProof/>
                <w:webHidden/>
              </w:rPr>
              <w:fldChar w:fldCharType="end"/>
            </w:r>
          </w:hyperlink>
        </w:p>
        <w:p w:rsidR="008E76D5" w:rsidRPr="001F1473" w:rsidRDefault="008E76D5" w:rsidP="005F3684">
          <w:pPr>
            <w:spacing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Pr="001F1473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C77" w:rsidRPr="001F1473" w:rsidRDefault="00736C77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pStyle w:val="1"/>
        <w:jc w:val="center"/>
        <w:rPr>
          <w:sz w:val="24"/>
          <w:szCs w:val="24"/>
        </w:rPr>
      </w:pPr>
    </w:p>
    <w:p w:rsidR="00157000" w:rsidRDefault="00157000" w:rsidP="005F3684">
      <w:pPr>
        <w:pStyle w:val="1"/>
        <w:jc w:val="center"/>
        <w:rPr>
          <w:sz w:val="24"/>
          <w:szCs w:val="24"/>
        </w:rPr>
      </w:pPr>
    </w:p>
    <w:p w:rsidR="007B574E" w:rsidRDefault="007B574E" w:rsidP="005F3684">
      <w:pPr>
        <w:pStyle w:val="1"/>
        <w:jc w:val="center"/>
        <w:rPr>
          <w:sz w:val="24"/>
          <w:szCs w:val="24"/>
        </w:rPr>
      </w:pPr>
    </w:p>
    <w:p w:rsidR="002B773D" w:rsidRDefault="002B773D" w:rsidP="005F3684">
      <w:pPr>
        <w:pStyle w:val="1"/>
        <w:jc w:val="center"/>
        <w:rPr>
          <w:sz w:val="24"/>
          <w:szCs w:val="24"/>
        </w:rPr>
      </w:pPr>
    </w:p>
    <w:p w:rsidR="007B574E" w:rsidRDefault="007B574E" w:rsidP="005F3684">
      <w:pPr>
        <w:pStyle w:val="1"/>
        <w:jc w:val="center"/>
        <w:rPr>
          <w:sz w:val="24"/>
          <w:szCs w:val="24"/>
        </w:rPr>
      </w:pPr>
    </w:p>
    <w:p w:rsidR="004F2623" w:rsidRDefault="004F2623" w:rsidP="005F3684">
      <w:pPr>
        <w:pStyle w:val="1"/>
        <w:jc w:val="center"/>
        <w:rPr>
          <w:sz w:val="24"/>
          <w:szCs w:val="24"/>
        </w:rPr>
      </w:pPr>
    </w:p>
    <w:p w:rsidR="000C2673" w:rsidRPr="001F1473" w:rsidRDefault="00AA3B92" w:rsidP="005F3684">
      <w:pPr>
        <w:pStyle w:val="1"/>
        <w:jc w:val="center"/>
        <w:rPr>
          <w:b w:val="0"/>
          <w:sz w:val="24"/>
          <w:szCs w:val="24"/>
        </w:rPr>
      </w:pPr>
      <w:bookmarkStart w:id="0" w:name="_Toc137634266"/>
      <w:r>
        <w:rPr>
          <w:sz w:val="24"/>
          <w:szCs w:val="24"/>
        </w:rPr>
        <w:lastRenderedPageBreak/>
        <w:t>В</w:t>
      </w:r>
      <w:r w:rsidR="000C2673" w:rsidRPr="001F1473">
        <w:rPr>
          <w:sz w:val="24"/>
          <w:szCs w:val="24"/>
        </w:rPr>
        <w:t>ведение</w:t>
      </w:r>
      <w:bookmarkEnd w:id="0"/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ООО «Газпром энерго» - специализированная энергетическая дочерняя компания ПАО «Газпром» - осуществляет свою деятельность в 46 субъектах Российской Федерации.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 соответствии со «Стратегией ПАО «Газпром» в электроэнергетике», принятой на 2018-2027 годы, ООО «Газпром энерго» является единой электросетевой компанией, обеспечивающей передачу электрической энергии (мощности).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Одним из основных видов деятельности ООО «Газпром энерго» на территории </w:t>
      </w:r>
      <w:r w:rsidR="00AB50B9">
        <w:rPr>
          <w:rFonts w:ascii="Times New Roman" w:hAnsi="Times New Roman" w:cs="Times New Roman"/>
          <w:sz w:val="24"/>
          <w:szCs w:val="24"/>
        </w:rPr>
        <w:t>Тульской области</w:t>
      </w:r>
      <w:r w:rsidRPr="001F1473">
        <w:rPr>
          <w:rFonts w:ascii="Times New Roman" w:hAnsi="Times New Roman" w:cs="Times New Roman"/>
          <w:sz w:val="24"/>
          <w:szCs w:val="24"/>
        </w:rPr>
        <w:t xml:space="preserve"> являются услуги по передаче и распределению электрической энергии (мощности), технологическое присоединение (подключение) к электросетям, обеспечение работоспособности сетей (монтаж, ремонт и техническое обслуживание распределительных линий электропередачи и электротехнического оборудования). Услуга по передаче и распределению электрической энергии является регулируем</w:t>
      </w:r>
      <w:r w:rsidR="00BD5E47">
        <w:rPr>
          <w:rFonts w:ascii="Times New Roman" w:hAnsi="Times New Roman" w:cs="Times New Roman"/>
          <w:sz w:val="24"/>
          <w:szCs w:val="24"/>
        </w:rPr>
        <w:t>ой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государством, поэтому основные параметры функционирования предприятия на год, в том числе и экономическая составляющая, определяются органом Государственного регулирования.  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Состав объектов энергоснабжения, находящихся в эксплуатации     </w:t>
      </w:r>
      <w:r w:rsidR="004A197A" w:rsidRPr="001F147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33A2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F1473">
        <w:rPr>
          <w:rFonts w:ascii="Times New Roman" w:hAnsi="Times New Roman" w:cs="Times New Roman"/>
          <w:sz w:val="24"/>
          <w:szCs w:val="24"/>
        </w:rPr>
        <w:t>ООО «Газпром энерго» по Тульской области, следующий: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область, Ефремовский район: ТП Котельная (инв. №0050304), ЗРУ-6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№0050300), ОРУ-110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КС-8 (инв. №0050409), ТП 6/10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КС-1 (инв. №107123), ТП СН (инв. №0050408), Внешнее электроснабжение КС-1 на компрессорной станции Пожилинского сельского округа (инв. 0106653);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 Ефремовский район и д. Чернятино: ЦРП-10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0020725), ТП - 0,4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в здании старой котельной (инв. 0020705), ТП - 0,4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в здании производственного корпуса (инв. 0020689), линии электропередачи (инв. 20765);</w:t>
      </w:r>
    </w:p>
    <w:p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 Щекинский район, с. Пришня и п. Первомайский: КТП ФОК (инв. 48316), КТП Школа (инв. 0048354), ОРУ/ЗРУ 110/10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компрессорной станции КС-2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Щекинская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" (инв. 107242, 106278), ОРУ/ЗРУ 110/6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F56AA">
        <w:rPr>
          <w:rFonts w:ascii="Times New Roman" w:hAnsi="Times New Roman" w:cs="Times New Roman"/>
          <w:sz w:val="24"/>
          <w:szCs w:val="24"/>
        </w:rPr>
        <w:t xml:space="preserve"> КС-9 (инв. 48222, 0048211), л</w:t>
      </w:r>
      <w:r w:rsidRPr="001F1473">
        <w:rPr>
          <w:rFonts w:ascii="Times New Roman" w:hAnsi="Times New Roman" w:cs="Times New Roman"/>
          <w:sz w:val="24"/>
          <w:szCs w:val="24"/>
        </w:rPr>
        <w:t xml:space="preserve">иния электропередач для жилых домов с. Пришня (инв. 0048276), высоковольтная линия 6кВ с переводом на 10кВ (инв. 0048353), внешние сети электроснабжения к школе (инв. 0049085), Наружные сети электроснабжения из двух ЛЭП-10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и КЛ-04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F56AA">
        <w:rPr>
          <w:rFonts w:ascii="Times New Roman" w:hAnsi="Times New Roman" w:cs="Times New Roman"/>
          <w:sz w:val="24"/>
          <w:szCs w:val="24"/>
        </w:rPr>
        <w:t xml:space="preserve"> длиной 215 м (инв. 00015600), э</w:t>
      </w:r>
      <w:r w:rsidRPr="001F1473">
        <w:rPr>
          <w:rFonts w:ascii="Times New Roman" w:hAnsi="Times New Roman" w:cs="Times New Roman"/>
          <w:sz w:val="24"/>
          <w:szCs w:val="24"/>
        </w:rPr>
        <w:t xml:space="preserve">лектроснабжение внешнее (кабельные линии электропередачи к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Новомосковской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автомобильной газонаполните</w:t>
      </w:r>
      <w:r w:rsidR="003F56AA">
        <w:rPr>
          <w:rFonts w:ascii="Times New Roman" w:hAnsi="Times New Roman" w:cs="Times New Roman"/>
          <w:sz w:val="24"/>
          <w:szCs w:val="24"/>
        </w:rPr>
        <w:t>льной станции (инв. 00015180), э</w:t>
      </w:r>
      <w:r w:rsidRPr="001F1473">
        <w:rPr>
          <w:rFonts w:ascii="Times New Roman" w:hAnsi="Times New Roman" w:cs="Times New Roman"/>
          <w:sz w:val="24"/>
          <w:szCs w:val="24"/>
        </w:rPr>
        <w:t xml:space="preserve">лектроснабжение внешнее (кабельные линии электропередачи к Тульской автомобильной газонаполнительной станции (инв. 00016004), ЛЭП-0,4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с. Пришня (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инв.номер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: 00017122), Кабельная линия 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протяж</w:t>
      </w:r>
      <w:r w:rsidR="003F56AA">
        <w:rPr>
          <w:rFonts w:ascii="Times New Roman" w:hAnsi="Times New Roman" w:cs="Times New Roman"/>
          <w:sz w:val="24"/>
          <w:szCs w:val="24"/>
        </w:rPr>
        <w:t>енность 700 м (инв. 00017252), к</w:t>
      </w:r>
      <w:r w:rsidRPr="001F1473">
        <w:rPr>
          <w:rFonts w:ascii="Times New Roman" w:hAnsi="Times New Roman" w:cs="Times New Roman"/>
          <w:sz w:val="24"/>
          <w:szCs w:val="24"/>
        </w:rPr>
        <w:t xml:space="preserve">омплектная трансформаторная подстанция 160/6/0,4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00017253) и др.</w:t>
      </w:r>
    </w:p>
    <w:p w:rsidR="00BC7B93" w:rsidRPr="001F1473" w:rsidRDefault="00BC7B93" w:rsidP="005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ab/>
        <w:t>Потребителями электроэнергии Тульской области явл</w:t>
      </w:r>
      <w:r w:rsidR="00675441">
        <w:rPr>
          <w:rFonts w:ascii="Times New Roman" w:hAnsi="Times New Roman" w:cs="Times New Roman"/>
          <w:sz w:val="24"/>
          <w:szCs w:val="24"/>
        </w:rPr>
        <w:t xml:space="preserve">яются объекты </w:t>
      </w:r>
      <w:r w:rsidR="003F56AA">
        <w:rPr>
          <w:rFonts w:ascii="Times New Roman" w:hAnsi="Times New Roman" w:cs="Times New Roman"/>
          <w:sz w:val="24"/>
          <w:szCs w:val="24"/>
        </w:rPr>
        <w:br/>
        <w:t xml:space="preserve">филиала </w:t>
      </w:r>
      <w:r w:rsidR="00675441">
        <w:rPr>
          <w:rFonts w:ascii="Times New Roman" w:hAnsi="Times New Roman" w:cs="Times New Roman"/>
          <w:sz w:val="24"/>
          <w:szCs w:val="24"/>
        </w:rPr>
        <w:t>ПАО «</w:t>
      </w:r>
      <w:r w:rsidR="003F56AA">
        <w:rPr>
          <w:rFonts w:ascii="Times New Roman" w:hAnsi="Times New Roman" w:cs="Times New Roman"/>
          <w:sz w:val="24"/>
          <w:szCs w:val="24"/>
        </w:rPr>
        <w:t>Россети Центр и Приволжье</w:t>
      </w:r>
      <w:r w:rsidR="00675441">
        <w:rPr>
          <w:rFonts w:ascii="Times New Roman" w:hAnsi="Times New Roman" w:cs="Times New Roman"/>
          <w:sz w:val="24"/>
          <w:szCs w:val="24"/>
        </w:rPr>
        <w:t>»</w:t>
      </w:r>
      <w:r w:rsidR="003F56AA">
        <w:rPr>
          <w:rFonts w:ascii="Times New Roman" w:hAnsi="Times New Roman" w:cs="Times New Roman"/>
          <w:sz w:val="24"/>
          <w:szCs w:val="24"/>
        </w:rPr>
        <w:t xml:space="preserve"> - «Тулэнерго»</w:t>
      </w:r>
      <w:r w:rsidR="00675441">
        <w:rPr>
          <w:rFonts w:ascii="Times New Roman" w:hAnsi="Times New Roman" w:cs="Times New Roman"/>
          <w:sz w:val="24"/>
          <w:szCs w:val="24"/>
        </w:rPr>
        <w:t>, ф</w:t>
      </w:r>
      <w:r w:rsidRPr="001F1473">
        <w:rPr>
          <w:rFonts w:ascii="Times New Roman" w:hAnsi="Times New Roman" w:cs="Times New Roman"/>
          <w:sz w:val="24"/>
          <w:szCs w:val="24"/>
        </w:rPr>
        <w:t>илиал</w:t>
      </w:r>
      <w:r w:rsidR="00D01A99">
        <w:rPr>
          <w:rFonts w:ascii="Times New Roman" w:hAnsi="Times New Roman" w:cs="Times New Roman"/>
          <w:sz w:val="24"/>
          <w:szCs w:val="24"/>
        </w:rPr>
        <w:t>а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ООО "Газпром трансга</w:t>
      </w:r>
      <w:r w:rsidR="00675441">
        <w:rPr>
          <w:rFonts w:ascii="Times New Roman" w:hAnsi="Times New Roman" w:cs="Times New Roman"/>
          <w:sz w:val="24"/>
          <w:szCs w:val="24"/>
        </w:rPr>
        <w:t>з Москва" Тульское ЛПУМГ</w:t>
      </w:r>
      <w:r w:rsidR="003F56AA">
        <w:rPr>
          <w:rFonts w:ascii="Times New Roman" w:hAnsi="Times New Roman" w:cs="Times New Roman"/>
          <w:sz w:val="24"/>
          <w:szCs w:val="24"/>
        </w:rPr>
        <w:t xml:space="preserve"> (объекты в Щекинском, Ефремовском и Первомайском районах)</w:t>
      </w:r>
      <w:r w:rsidR="00675441">
        <w:rPr>
          <w:rFonts w:ascii="Times New Roman" w:hAnsi="Times New Roman" w:cs="Times New Roman"/>
          <w:sz w:val="24"/>
          <w:szCs w:val="24"/>
        </w:rPr>
        <w:t>, ф</w:t>
      </w:r>
      <w:r w:rsidRPr="001F1473">
        <w:rPr>
          <w:rFonts w:ascii="Times New Roman" w:hAnsi="Times New Roman" w:cs="Times New Roman"/>
          <w:sz w:val="24"/>
          <w:szCs w:val="24"/>
        </w:rPr>
        <w:t>илиал</w:t>
      </w:r>
      <w:r w:rsidR="00D01A99">
        <w:rPr>
          <w:rFonts w:ascii="Times New Roman" w:hAnsi="Times New Roman" w:cs="Times New Roman"/>
          <w:sz w:val="24"/>
          <w:szCs w:val="24"/>
        </w:rPr>
        <w:t>а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ООО "Га</w:t>
      </w:r>
      <w:r w:rsidR="00675441">
        <w:rPr>
          <w:rFonts w:ascii="Times New Roman" w:hAnsi="Times New Roman" w:cs="Times New Roman"/>
          <w:sz w:val="24"/>
          <w:szCs w:val="24"/>
        </w:rPr>
        <w:t xml:space="preserve">зпром трансгаз Москва" УМТСиК, </w:t>
      </w:r>
      <w:r w:rsidRPr="001F1473">
        <w:rPr>
          <w:rFonts w:ascii="Times New Roman" w:hAnsi="Times New Roman" w:cs="Times New Roman"/>
          <w:sz w:val="24"/>
          <w:szCs w:val="24"/>
        </w:rPr>
        <w:t>предприятия (ЗАО "Норси транс", ОАО "</w:t>
      </w:r>
      <w:r w:rsidR="00D01A99">
        <w:rPr>
          <w:rFonts w:ascii="Times New Roman" w:hAnsi="Times New Roman" w:cs="Times New Roman"/>
          <w:sz w:val="24"/>
          <w:szCs w:val="24"/>
        </w:rPr>
        <w:t>ЩГЭС</w:t>
      </w:r>
      <w:r w:rsidRPr="001F1473">
        <w:rPr>
          <w:rFonts w:ascii="Times New Roman" w:hAnsi="Times New Roman" w:cs="Times New Roman"/>
          <w:sz w:val="24"/>
          <w:szCs w:val="24"/>
        </w:rPr>
        <w:t>", ООО "ПАРКойл-Тула", ООО "Солерс", ООО "Шар", ОКБ "Минерал", ООО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Ферро"</w:t>
      </w:r>
      <w:r w:rsidR="009E740B">
        <w:rPr>
          <w:rFonts w:ascii="Times New Roman" w:hAnsi="Times New Roman" w:cs="Times New Roman"/>
          <w:sz w:val="24"/>
          <w:szCs w:val="24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и др.), а также население, школа, детский сад.</w:t>
      </w:r>
    </w:p>
    <w:p w:rsidR="00BC7B93" w:rsidRDefault="00BC7B9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7000" w:rsidRDefault="00157000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7000" w:rsidRDefault="00157000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7000" w:rsidRDefault="00157000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7000" w:rsidRDefault="00157000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923" w:rsidRDefault="0024792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0B9" w:rsidRDefault="00AB50B9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84C" w:rsidRPr="001F1473" w:rsidRDefault="005D084C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8AD" w:rsidRPr="001F1473" w:rsidRDefault="004648AD" w:rsidP="00426A8D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1" w:name="_Toc137634267"/>
      <w:r w:rsidRPr="001F14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Обоснов</w:t>
      </w:r>
      <w:r w:rsidR="00E92CC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ание реализации мероприятия по и</w:t>
      </w:r>
      <w:r w:rsidRPr="001F14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нвестиционной программе</w:t>
      </w:r>
      <w:bookmarkEnd w:id="1"/>
    </w:p>
    <w:p w:rsidR="00AB50B9" w:rsidRPr="00AB50B9" w:rsidRDefault="005D084C" w:rsidP="00AA4FD8">
      <w:p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137634268"/>
      <w:r>
        <w:rPr>
          <w:rFonts w:ascii="Times New Roman" w:hAnsi="Times New Roman" w:cs="Times New Roman"/>
          <w:b/>
          <w:sz w:val="24"/>
          <w:szCs w:val="24"/>
        </w:rPr>
        <w:t>«</w:t>
      </w:r>
      <w:r w:rsidR="00AA4FD8">
        <w:rPr>
          <w:rFonts w:ascii="Times New Roman" w:hAnsi="Times New Roman" w:cs="Times New Roman"/>
          <w:b/>
          <w:sz w:val="24"/>
          <w:szCs w:val="24"/>
        </w:rPr>
        <w:t>Приобретение специализированного грузового автотранспорта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bookmarkEnd w:id="2"/>
    </w:p>
    <w:p w:rsidR="00AA4FD8" w:rsidRDefault="00AB50B9" w:rsidP="00B54BAE">
      <w:pPr>
        <w:pStyle w:val="a4"/>
        <w:tabs>
          <w:tab w:val="left" w:pos="3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4D27">
        <w:rPr>
          <w:rFonts w:ascii="Times New Roman" w:hAnsi="Times New Roman" w:cs="Times New Roman"/>
          <w:sz w:val="24"/>
          <w:szCs w:val="24"/>
        </w:rPr>
        <w:tab/>
      </w:r>
    </w:p>
    <w:p w:rsidR="00F9664E" w:rsidRPr="001F1473" w:rsidRDefault="00AA4FD8" w:rsidP="00B54BAE">
      <w:pPr>
        <w:pStyle w:val="a4"/>
        <w:tabs>
          <w:tab w:val="left" w:pos="3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7923">
        <w:rPr>
          <w:rFonts w:ascii="Times New Roman" w:hAnsi="Times New Roman" w:cs="Times New Roman"/>
          <w:sz w:val="24"/>
          <w:szCs w:val="24"/>
        </w:rPr>
        <w:tab/>
      </w:r>
      <w:r w:rsidR="00AB50B9">
        <w:rPr>
          <w:rFonts w:ascii="Times New Roman" w:hAnsi="Times New Roman" w:cs="Times New Roman"/>
          <w:sz w:val="24"/>
          <w:szCs w:val="24"/>
        </w:rPr>
        <w:t>Реализация мероприятия</w:t>
      </w:r>
      <w:r w:rsidR="00221A87" w:rsidRPr="00AB50B9">
        <w:rPr>
          <w:rFonts w:ascii="Times New Roman" w:hAnsi="Times New Roman" w:cs="Times New Roman"/>
          <w:sz w:val="24"/>
          <w:szCs w:val="24"/>
        </w:rPr>
        <w:t xml:space="preserve"> инвестиционной программы </w:t>
      </w:r>
      <w:r w:rsidR="00AB50B9" w:rsidRPr="00AB50B9">
        <w:rPr>
          <w:rFonts w:ascii="Times New Roman" w:hAnsi="Times New Roman" w:cs="Times New Roman"/>
          <w:sz w:val="24"/>
          <w:szCs w:val="24"/>
        </w:rPr>
        <w:t xml:space="preserve">Центрального филиала </w:t>
      </w:r>
      <w:r w:rsidR="00AB50B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21A87" w:rsidRPr="00AB50B9">
        <w:rPr>
          <w:rFonts w:ascii="Times New Roman" w:hAnsi="Times New Roman" w:cs="Times New Roman"/>
          <w:sz w:val="24"/>
          <w:szCs w:val="24"/>
        </w:rPr>
        <w:t>ООО «Газпром энерго»</w:t>
      </w:r>
      <w:r w:rsidR="00F9664E" w:rsidRPr="00AB50B9">
        <w:rPr>
          <w:rFonts w:ascii="Times New Roman" w:hAnsi="Times New Roman" w:cs="Times New Roman"/>
          <w:sz w:val="24"/>
          <w:szCs w:val="24"/>
        </w:rPr>
        <w:t>:</w:t>
      </w:r>
      <w:r w:rsidR="00AB50B9">
        <w:rPr>
          <w:rFonts w:ascii="Times New Roman" w:hAnsi="Times New Roman" w:cs="Times New Roman"/>
          <w:sz w:val="24"/>
          <w:szCs w:val="24"/>
        </w:rPr>
        <w:t xml:space="preserve"> </w:t>
      </w:r>
      <w:r w:rsidR="005D084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Приобретение специализированного грузового автотранспорта</w:t>
      </w:r>
      <w:r w:rsidR="005D084C">
        <w:rPr>
          <w:rFonts w:ascii="Times New Roman" w:hAnsi="Times New Roman" w:cs="Times New Roman"/>
          <w:sz w:val="24"/>
          <w:szCs w:val="24"/>
        </w:rPr>
        <w:t>»</w:t>
      </w:r>
      <w:r w:rsidR="00AB50B9">
        <w:rPr>
          <w:rFonts w:ascii="Times New Roman" w:hAnsi="Times New Roman" w:cs="Times New Roman"/>
          <w:sz w:val="24"/>
          <w:szCs w:val="24"/>
        </w:rPr>
        <w:t xml:space="preserve"> </w:t>
      </w:r>
      <w:r w:rsidR="000C08B4" w:rsidRPr="001F1473">
        <w:rPr>
          <w:rFonts w:ascii="Times New Roman" w:hAnsi="Times New Roman" w:cs="Times New Roman"/>
          <w:sz w:val="24"/>
          <w:szCs w:val="24"/>
        </w:rPr>
        <w:t>направлена</w:t>
      </w:r>
      <w:r w:rsidR="00F9664E" w:rsidRPr="001F1473">
        <w:rPr>
          <w:rFonts w:ascii="Times New Roman" w:hAnsi="Times New Roman" w:cs="Times New Roman"/>
          <w:sz w:val="24"/>
          <w:szCs w:val="24"/>
        </w:rPr>
        <w:t xml:space="preserve"> на хозяйственное обеспечение текущей</w:t>
      </w:r>
      <w:r w:rsidR="007D7CD6" w:rsidRPr="001F1473">
        <w:rPr>
          <w:rFonts w:ascii="Times New Roman" w:hAnsi="Times New Roman" w:cs="Times New Roman"/>
          <w:sz w:val="24"/>
          <w:szCs w:val="24"/>
        </w:rPr>
        <w:t xml:space="preserve"> производственной</w:t>
      </w:r>
      <w:r w:rsidR="00F9664E" w:rsidRPr="001F1473">
        <w:rPr>
          <w:rFonts w:ascii="Times New Roman" w:hAnsi="Times New Roman" w:cs="Times New Roman"/>
          <w:sz w:val="24"/>
          <w:szCs w:val="24"/>
        </w:rPr>
        <w:t xml:space="preserve"> деятельности сетевой организации</w:t>
      </w:r>
      <w:r w:rsidR="004868B3" w:rsidRPr="001F1473">
        <w:rPr>
          <w:rFonts w:ascii="Times New Roman" w:hAnsi="Times New Roman" w:cs="Times New Roman"/>
          <w:sz w:val="24"/>
          <w:szCs w:val="24"/>
        </w:rPr>
        <w:t>.</w:t>
      </w:r>
    </w:p>
    <w:p w:rsidR="00B54BAE" w:rsidRPr="00074907" w:rsidRDefault="00B54BAE" w:rsidP="000749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907">
        <w:rPr>
          <w:rFonts w:ascii="Times New Roman" w:hAnsi="Times New Roman" w:cs="Times New Roman"/>
          <w:sz w:val="24"/>
          <w:szCs w:val="24"/>
        </w:rPr>
        <w:t>ООО «Газпром энерго» является сетевой организацией, оказывающей услуги по передаче электрической энергии на территории Тульской области. Среди абонентов, подключенных в электрическим сетям ООО «Газпром энерго», присутствует население, бюджетные потребители, а также прочие юридические лица.</w:t>
      </w:r>
    </w:p>
    <w:p w:rsidR="001162E4" w:rsidRPr="00074907" w:rsidRDefault="001162E4" w:rsidP="000749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907">
        <w:rPr>
          <w:rFonts w:ascii="Times New Roman" w:hAnsi="Times New Roman" w:cs="Times New Roman"/>
          <w:sz w:val="24"/>
          <w:szCs w:val="24"/>
        </w:rPr>
        <w:t>Реализация инвестиционного проекта «Приобретение специализированного грузового автотранспорта» обусловлена необходимостью проведения работ по ремонту и обслуживанию объектов электросетевого хозяйства. Приобретение специализированного автотранспорта позволит решить следующие задачи:</w:t>
      </w:r>
    </w:p>
    <w:p w:rsidR="001162E4" w:rsidRPr="00074907" w:rsidRDefault="001162E4" w:rsidP="00074907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907">
        <w:rPr>
          <w:rFonts w:ascii="Times New Roman" w:hAnsi="Times New Roman" w:cs="Times New Roman"/>
          <w:sz w:val="24"/>
          <w:szCs w:val="24"/>
        </w:rPr>
        <w:t>повышение надежности оказания услуг по передаче электрической энергии</w:t>
      </w:r>
      <w:r w:rsidR="007F7467" w:rsidRPr="00074907">
        <w:rPr>
          <w:rFonts w:ascii="Times New Roman" w:hAnsi="Times New Roman" w:cs="Times New Roman"/>
          <w:sz w:val="24"/>
          <w:szCs w:val="24"/>
        </w:rPr>
        <w:t xml:space="preserve"> потребителям электрической энергии, расположенным в Тульской обл.</w:t>
      </w:r>
      <w:r w:rsidRPr="00074907">
        <w:rPr>
          <w:rFonts w:ascii="Times New Roman" w:hAnsi="Times New Roman" w:cs="Times New Roman"/>
          <w:sz w:val="24"/>
          <w:szCs w:val="24"/>
        </w:rPr>
        <w:t>;</w:t>
      </w:r>
    </w:p>
    <w:p w:rsidR="007F7467" w:rsidRPr="00074907" w:rsidRDefault="007F7467" w:rsidP="00074907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907">
        <w:rPr>
          <w:rFonts w:ascii="Times New Roman" w:hAnsi="Times New Roman" w:cs="Times New Roman"/>
          <w:sz w:val="24"/>
          <w:szCs w:val="24"/>
        </w:rPr>
        <w:t>обеспечение надежного энергоснабжения объектов единой системы газоснабжения, осуществляющих поставку природного газа на территорию Тульской обл.;</w:t>
      </w:r>
    </w:p>
    <w:p w:rsidR="001162E4" w:rsidRPr="00074907" w:rsidRDefault="001162E4" w:rsidP="00074907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907">
        <w:rPr>
          <w:rFonts w:ascii="Times New Roman" w:hAnsi="Times New Roman" w:cs="Times New Roman"/>
          <w:sz w:val="24"/>
          <w:szCs w:val="24"/>
        </w:rPr>
        <w:t>снижение времени устранения аварий на энергообъектах;</w:t>
      </w:r>
    </w:p>
    <w:p w:rsidR="001162E4" w:rsidRPr="00074907" w:rsidRDefault="001162E4" w:rsidP="00074907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907">
        <w:rPr>
          <w:rFonts w:ascii="Times New Roman" w:hAnsi="Times New Roman" w:cs="Times New Roman"/>
          <w:sz w:val="24"/>
          <w:szCs w:val="24"/>
        </w:rPr>
        <w:t>своевременное выполнение плановых ремонтных мероприятий на энергообъектах</w:t>
      </w:r>
      <w:r w:rsidR="007F7467" w:rsidRPr="00074907">
        <w:rPr>
          <w:rFonts w:ascii="Times New Roman" w:hAnsi="Times New Roman" w:cs="Times New Roman"/>
          <w:sz w:val="24"/>
          <w:szCs w:val="24"/>
        </w:rPr>
        <w:t xml:space="preserve"> Тульской обл.</w:t>
      </w:r>
      <w:r w:rsidRPr="00074907">
        <w:rPr>
          <w:rFonts w:ascii="Times New Roman" w:hAnsi="Times New Roman" w:cs="Times New Roman"/>
          <w:sz w:val="24"/>
          <w:szCs w:val="24"/>
        </w:rPr>
        <w:t>;</w:t>
      </w:r>
    </w:p>
    <w:p w:rsidR="007F7467" w:rsidRPr="00074907" w:rsidRDefault="007F7467" w:rsidP="00074907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907">
        <w:rPr>
          <w:rFonts w:ascii="Times New Roman" w:hAnsi="Times New Roman" w:cs="Times New Roman"/>
          <w:sz w:val="24"/>
          <w:szCs w:val="24"/>
        </w:rPr>
        <w:t>перевозка материалов, необходимых для проведения работ на объектах электроснабжения;</w:t>
      </w:r>
    </w:p>
    <w:p w:rsidR="001162E4" w:rsidRPr="00074907" w:rsidRDefault="001162E4" w:rsidP="00074907">
      <w:pPr>
        <w:pStyle w:val="a4"/>
        <w:numPr>
          <w:ilvl w:val="0"/>
          <w:numId w:val="16"/>
        </w:numPr>
        <w:jc w:val="both"/>
      </w:pPr>
      <w:r w:rsidRPr="00074907">
        <w:rPr>
          <w:rFonts w:ascii="Times New Roman" w:hAnsi="Times New Roman" w:cs="Times New Roman"/>
          <w:sz w:val="24"/>
          <w:szCs w:val="24"/>
        </w:rPr>
        <w:t>строительство и реконструкция электрических сетей.</w:t>
      </w:r>
    </w:p>
    <w:p w:rsidR="00B54BAE" w:rsidRPr="00B54BAE" w:rsidRDefault="00B54BAE" w:rsidP="00B54BAE">
      <w:pPr>
        <w:pStyle w:val="ab"/>
        <w:ind w:left="1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857" w:rsidRPr="00AB50B9" w:rsidRDefault="00192857" w:rsidP="00AB50B9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137634269"/>
      <w:r w:rsidRPr="00AB50B9">
        <w:rPr>
          <w:rFonts w:ascii="Times New Roman" w:hAnsi="Times New Roman" w:cs="Times New Roman"/>
          <w:b/>
          <w:sz w:val="24"/>
          <w:szCs w:val="24"/>
        </w:rPr>
        <w:t xml:space="preserve">Порядок расчета количественных показателей </w:t>
      </w:r>
      <w:r w:rsidR="00AB50B9" w:rsidRPr="00AB50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мероприятия по Инвестиционной программе</w:t>
      </w:r>
      <w:r w:rsidR="00AB50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5D084C">
        <w:rPr>
          <w:rFonts w:ascii="Times New Roman" w:hAnsi="Times New Roman" w:cs="Times New Roman"/>
          <w:b/>
          <w:sz w:val="24"/>
          <w:szCs w:val="24"/>
        </w:rPr>
        <w:t>«</w:t>
      </w:r>
      <w:r w:rsidR="00247923">
        <w:rPr>
          <w:rFonts w:ascii="Times New Roman" w:hAnsi="Times New Roman" w:cs="Times New Roman"/>
          <w:b/>
          <w:sz w:val="24"/>
          <w:szCs w:val="24"/>
        </w:rPr>
        <w:t>Приобретение специализированного грузового автотранспорта</w:t>
      </w:r>
      <w:r w:rsidR="005D084C">
        <w:rPr>
          <w:rFonts w:ascii="Times New Roman" w:hAnsi="Times New Roman" w:cs="Times New Roman"/>
          <w:b/>
          <w:sz w:val="24"/>
          <w:szCs w:val="24"/>
        </w:rPr>
        <w:t>»</w:t>
      </w:r>
      <w:bookmarkEnd w:id="3"/>
    </w:p>
    <w:p w:rsidR="00247923" w:rsidRDefault="00192857" w:rsidP="008F4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D5668" w:rsidRDefault="001D5668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состоянию на 01.01.2023 года на территории Тульской области отсутствует автомобильная техника, закрепленная за объектами электросетевого хозяйства Центрального филиала ООО «Газпром энерго». На сегодняшний день у организации существует потребность в специальной технике для ремонта и обслуживания электрических сетей. Приказом Госстроя РФ от 05.09.200 № 200 определено нормативное количество машин и механизмов, которое определяется в соответствии с количеством условных единиц объема работ по электрическим сетям. В соответствии с Протоколом заседания </w:t>
      </w:r>
      <w:r w:rsidR="00EF16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Правления комитета Тульской области по тарифам №50 от 25.11.2022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количество условных единиц на 2023 год составило 789,93 у.е.</w:t>
      </w:r>
    </w:p>
    <w:p w:rsidR="00FE6F41" w:rsidRDefault="00FE6F41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3E5C" w:rsidRDefault="003D3E5C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нормативного количества машин:</w:t>
      </w:r>
    </w:p>
    <w:tbl>
      <w:tblPr>
        <w:tblW w:w="9083" w:type="dxa"/>
        <w:tblInd w:w="113" w:type="dxa"/>
        <w:tblLook w:val="04A0" w:firstRow="1" w:lastRow="0" w:firstColumn="1" w:lastColumn="0" w:noHBand="0" w:noVBand="1"/>
      </w:tblPr>
      <w:tblGrid>
        <w:gridCol w:w="1025"/>
        <w:gridCol w:w="4958"/>
        <w:gridCol w:w="714"/>
        <w:gridCol w:w="1025"/>
        <w:gridCol w:w="1361"/>
      </w:tblGrid>
      <w:tr w:rsidR="00860AB7" w:rsidRPr="003D3E5C" w:rsidTr="00860AB7">
        <w:trPr>
          <w:trHeight w:val="239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поз по табл. МУ</w:t>
            </w:r>
          </w:p>
        </w:tc>
        <w:tc>
          <w:tcPr>
            <w:tcW w:w="4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машин и механизмов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УЕ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proofErr w:type="gram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транс-порта</w:t>
            </w:r>
            <w:proofErr w:type="gramEnd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1000 </w:t>
            </w:r>
            <w:proofErr w:type="spell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</w:t>
            </w:r>
            <w:proofErr w:type="spell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0AB7" w:rsidRPr="003D3E5C" w:rsidRDefault="00860AB7" w:rsidP="0086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Нормативное коли-во машин и механизмов </w:t>
            </w:r>
          </w:p>
        </w:tc>
      </w:tr>
      <w:tr w:rsidR="00860AB7" w:rsidRPr="003D3E5C" w:rsidTr="00860AB7">
        <w:trPr>
          <w:trHeight w:val="239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AB7" w:rsidRPr="00F374F3" w:rsidTr="00860AB7">
        <w:trPr>
          <w:trHeight w:val="239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860AB7" w:rsidRPr="003D3E5C" w:rsidTr="00860AB7">
        <w:trPr>
          <w:trHeight w:val="252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Машина бурильно-крановая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AB7" w:rsidRPr="003D3E5C" w:rsidRDefault="00860AB7" w:rsidP="003D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FE6F41" w:rsidRDefault="00FE6F41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3A1E" w:rsidRDefault="00A63A1E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 целью удовлетворения потребности организации в машинах и механизмах, необходимых для эксплуатации и ремонта электрический сетей на территории Тульской области планируется приобретение специализированного </w:t>
      </w:r>
      <w:r w:rsidR="00EF16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грузового автотранспорта в количестве – 1 шт. </w:t>
      </w:r>
    </w:p>
    <w:p w:rsidR="003D3E5C" w:rsidRDefault="003D3E5C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Ниже приведена информация о потребности в машинах и механизмах, необходимых для эксплуатации </w:t>
      </w:r>
      <w:r w:rsidR="00A63A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ремонта электрических сетей Центрального филиала ООО «Газпром энерго» в Тульской области:</w:t>
      </w:r>
    </w:p>
    <w:tbl>
      <w:tblPr>
        <w:tblW w:w="959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567"/>
        <w:gridCol w:w="649"/>
        <w:gridCol w:w="761"/>
        <w:gridCol w:w="574"/>
        <w:gridCol w:w="983"/>
        <w:gridCol w:w="463"/>
        <w:gridCol w:w="539"/>
        <w:gridCol w:w="551"/>
        <w:gridCol w:w="583"/>
        <w:gridCol w:w="425"/>
        <w:gridCol w:w="599"/>
        <w:gridCol w:w="887"/>
        <w:gridCol w:w="463"/>
      </w:tblGrid>
      <w:tr w:rsidR="00C01609" w:rsidRPr="00233686" w:rsidTr="00C01609">
        <w:trPr>
          <w:trHeight w:val="35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машин и механизмов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тивное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машин и меха-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низмов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*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Существующая техника на 01.01.2023г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приобретению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2023-2026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выводу из эксплуатации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2023-2026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 на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31.12.2026</w:t>
            </w:r>
          </w:p>
        </w:tc>
      </w:tr>
      <w:tr w:rsidR="00C01609" w:rsidRPr="00233686" w:rsidTr="00C01609">
        <w:trPr>
          <w:trHeight w:val="67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тивный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срок службы, лет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ремонто-пригод-ность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(да/нет)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C01609" w:rsidRPr="00A63A1E" w:rsidRDefault="00C0160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</w:tr>
      <w:tr w:rsidR="00610979" w:rsidRPr="00233686" w:rsidTr="005A3A14">
        <w:trPr>
          <w:trHeight w:val="1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610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</w:tr>
      <w:tr w:rsidR="00610979" w:rsidRPr="00233686" w:rsidTr="002E4C3F">
        <w:trPr>
          <w:trHeight w:val="41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Машина бурильно-крановая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610979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610979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Default="00610979" w:rsidP="00B21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610979" w:rsidRPr="00A63A1E" w:rsidRDefault="00610979" w:rsidP="0061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610979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грузовой специальный с КМУ ГИРД 5849DA, шасси Урал NEXT 4320, КМУ ИТ-200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610979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610979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грузовой специальный с КМУ ГИРД 5849DA, шасси Урал NEXT 4320, КМУ ИТ-200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79" w:rsidRPr="00A63A1E" w:rsidRDefault="00610979" w:rsidP="00B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  <w:t>1</w:t>
            </w:r>
          </w:p>
        </w:tc>
      </w:tr>
    </w:tbl>
    <w:p w:rsidR="00A63A1E" w:rsidRDefault="00A63A1E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7CD6" w:rsidRPr="001F1473" w:rsidRDefault="008F4D27" w:rsidP="00247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реализации инвестиционного проекта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309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824F86" w:rsidRPr="00824F86">
        <w:rPr>
          <w:rFonts w:ascii="Times New Roman" w:hAnsi="Times New Roman" w:cs="Times New Roman"/>
          <w:sz w:val="24"/>
          <w:szCs w:val="24"/>
        </w:rPr>
        <w:t>_AVTO/24</w:t>
      </w:r>
      <w:r w:rsidR="0019285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084C">
        <w:rPr>
          <w:rFonts w:ascii="Times New Roman" w:hAnsi="Times New Roman" w:cs="Times New Roman"/>
          <w:sz w:val="24"/>
          <w:szCs w:val="24"/>
        </w:rPr>
        <w:t>«</w:t>
      </w:r>
      <w:r w:rsidR="00824F86" w:rsidRPr="00824F86">
        <w:rPr>
          <w:rFonts w:ascii="Times New Roman" w:hAnsi="Times New Roman" w:cs="Times New Roman"/>
          <w:sz w:val="24"/>
          <w:szCs w:val="24"/>
        </w:rPr>
        <w:t>Приобретение специализированного грузового автотранспорта</w:t>
      </w:r>
      <w:r w:rsidR="005D084C">
        <w:rPr>
          <w:rFonts w:ascii="Times New Roman" w:hAnsi="Times New Roman" w:cs="Times New Roman"/>
          <w:sz w:val="24"/>
          <w:szCs w:val="24"/>
        </w:rPr>
        <w:t>»</w:t>
      </w:r>
      <w:r w:rsidR="00AB5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7CD6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</w:t>
      </w:r>
      <w:r w:rsidR="007D7CD6" w:rsidRPr="001F1473">
        <w:rPr>
          <w:rFonts w:ascii="Times New Roman" w:hAnsi="Times New Roman" w:cs="Times New Roman"/>
          <w:sz w:val="24"/>
          <w:szCs w:val="24"/>
        </w:rPr>
        <w:t>показатель объема финансовых потребностей, необходимых для реализации мероприятий, направленных на хозяйственное обеспечение текущей деятельности сетевой организации (</w:t>
      </w:r>
      <w:proofErr w:type="spellStart"/>
      <w:r w:rsidR="007D7CD6" w:rsidRPr="001F1473">
        <w:rPr>
          <w:rFonts w:ascii="Times New Roman" w:hAnsi="Times New Roman" w:cs="Times New Roman"/>
          <w:sz w:val="24"/>
          <w:szCs w:val="24"/>
        </w:rPr>
        <w:t>Ф</w:t>
      </w:r>
      <w:r w:rsidR="007D7CD6" w:rsidRPr="001F1473">
        <w:rPr>
          <w:rFonts w:ascii="Times New Roman" w:hAnsi="Times New Roman" w:cs="Times New Roman"/>
          <w:sz w:val="24"/>
          <w:szCs w:val="24"/>
          <w:vertAlign w:val="superscript"/>
        </w:rPr>
        <w:t>хо</w:t>
      </w:r>
      <w:proofErr w:type="spellEnd"/>
      <w:r w:rsidR="007D7CD6" w:rsidRPr="001F1473">
        <w:rPr>
          <w:rFonts w:ascii="Times New Roman" w:hAnsi="Times New Roman" w:cs="Times New Roman"/>
          <w:sz w:val="24"/>
          <w:szCs w:val="24"/>
        </w:rPr>
        <w:t>). Определяется как планируемый (фактический) объем финансирования реализации в соответствующем плановом (отчетном) периоде инвестиционных проектов.</w:t>
      </w:r>
    </w:p>
    <w:p w:rsidR="001F1473" w:rsidRDefault="003118DD" w:rsidP="00157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Объем финансирования </w:t>
      </w:r>
      <w:r w:rsidR="00AB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30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="00824F86" w:rsidRPr="00824F86">
        <w:rPr>
          <w:rFonts w:ascii="Times New Roman" w:hAnsi="Times New Roman" w:cs="Times New Roman"/>
          <w:sz w:val="24"/>
          <w:szCs w:val="24"/>
        </w:rPr>
        <w:t>_AVTO/24</w:t>
      </w:r>
      <w:r w:rsidR="00824F86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4F86">
        <w:rPr>
          <w:rFonts w:ascii="Times New Roman" w:hAnsi="Times New Roman" w:cs="Times New Roman"/>
          <w:sz w:val="24"/>
          <w:szCs w:val="24"/>
        </w:rPr>
        <w:t>«</w:t>
      </w:r>
      <w:r w:rsidR="00824F86" w:rsidRPr="00824F86">
        <w:rPr>
          <w:rFonts w:ascii="Times New Roman" w:hAnsi="Times New Roman" w:cs="Times New Roman"/>
          <w:sz w:val="24"/>
          <w:szCs w:val="24"/>
        </w:rPr>
        <w:t>Приобретение специализированного грузового автотранспорта</w:t>
      </w:r>
      <w:r w:rsidR="00824F86">
        <w:rPr>
          <w:rFonts w:ascii="Times New Roman" w:hAnsi="Times New Roman" w:cs="Times New Roman"/>
          <w:sz w:val="24"/>
          <w:szCs w:val="24"/>
        </w:rPr>
        <w:t>»</w:t>
      </w:r>
      <w:r w:rsidR="00AB50B9">
        <w:rPr>
          <w:rFonts w:ascii="Times New Roman" w:hAnsi="Times New Roman" w:cs="Times New Roman"/>
          <w:sz w:val="24"/>
          <w:szCs w:val="24"/>
        </w:rPr>
        <w:t xml:space="preserve"> </w:t>
      </w:r>
      <w:r w:rsidR="001F1473" w:rsidRPr="001F1473">
        <w:rPr>
          <w:rFonts w:ascii="Times New Roman" w:hAnsi="Times New Roman" w:cs="Times New Roman"/>
          <w:sz w:val="24"/>
          <w:szCs w:val="24"/>
        </w:rPr>
        <w:t>определяется в результате проведенного анализа актуальных рыночных цен, предоставлены три коммерческих пред</w:t>
      </w:r>
      <w:r w:rsidR="00AB50B9">
        <w:rPr>
          <w:rFonts w:ascii="Times New Roman" w:hAnsi="Times New Roman" w:cs="Times New Roman"/>
          <w:sz w:val="24"/>
          <w:szCs w:val="24"/>
        </w:rPr>
        <w:t>ложени</w:t>
      </w:r>
      <w:r w:rsidR="00824F86">
        <w:rPr>
          <w:rFonts w:ascii="Times New Roman" w:hAnsi="Times New Roman" w:cs="Times New Roman"/>
          <w:sz w:val="24"/>
          <w:szCs w:val="24"/>
        </w:rPr>
        <w:t>я</w:t>
      </w:r>
      <w:r w:rsidR="00AB50B9">
        <w:rPr>
          <w:rFonts w:ascii="Times New Roman" w:hAnsi="Times New Roman" w:cs="Times New Roman"/>
          <w:sz w:val="24"/>
          <w:szCs w:val="24"/>
        </w:rPr>
        <w:t xml:space="preserve"> на закупку оборудования: </w:t>
      </w:r>
    </w:p>
    <w:p w:rsidR="00824F86" w:rsidRDefault="00824F86" w:rsidP="00824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Коммерческое предложение ООО «ГИРД-Автофургон» от 08.02.2023 исх. 148-КП на сумму 23 730 000,00 руб. </w:t>
      </w:r>
      <w:r w:rsidRPr="00736C77">
        <w:rPr>
          <w:rFonts w:ascii="Times New Roman" w:hAnsi="Times New Roman" w:cs="Times New Roman"/>
          <w:sz w:val="24"/>
          <w:szCs w:val="24"/>
        </w:rPr>
        <w:t>с учетом НДС 20%;</w:t>
      </w:r>
    </w:p>
    <w:p w:rsidR="00824F86" w:rsidRDefault="00824F86" w:rsidP="00824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Коммерческое предложение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Геостройинвестпроект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16.02.2023 исх. № Спб-44/23 на сумму 24 743 000,00 руб.</w:t>
      </w:r>
      <w:r w:rsidRPr="00736C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учетом НДС 20%;</w:t>
      </w:r>
    </w:p>
    <w:p w:rsidR="00824F86" w:rsidRDefault="00824F86" w:rsidP="00824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Коммерческое предложение ООО «Дорожно-строительная техника» от 16.02.2023 на сумму 24 380 000,00 руб. с учетом НДС 20%.</w:t>
      </w:r>
    </w:p>
    <w:p w:rsidR="00824F86" w:rsidRDefault="00824F86" w:rsidP="00824F86">
      <w:pPr>
        <w:pStyle w:val="Default"/>
        <w:ind w:firstLine="709"/>
        <w:jc w:val="both"/>
      </w:pPr>
      <w:r>
        <w:t xml:space="preserve">Выбрано коммерческое предложение ООО «ГИРД-Автофургон» от 08.02.2023 исх. 148-КП на сумму 23 730 000,00 руб. </w:t>
      </w:r>
      <w:r w:rsidRPr="00736C77">
        <w:t>с учетом НДС 20%</w:t>
      </w:r>
      <w:r>
        <w:t>.</w:t>
      </w:r>
    </w:p>
    <w:p w:rsidR="00824F86" w:rsidRDefault="00824F86" w:rsidP="00824F86">
      <w:pPr>
        <w:pStyle w:val="Default"/>
        <w:ind w:firstLine="709"/>
        <w:jc w:val="both"/>
      </w:pPr>
      <w:r>
        <w:t xml:space="preserve"> </w:t>
      </w:r>
      <w:proofErr w:type="spellStart"/>
      <w:r w:rsidRPr="001F1473">
        <w:t>Ф</w:t>
      </w:r>
      <w:r w:rsidRPr="001F1473">
        <w:rPr>
          <w:vertAlign w:val="superscript"/>
        </w:rPr>
        <w:t>хо</w:t>
      </w:r>
      <w:proofErr w:type="spellEnd"/>
      <w:r>
        <w:t>=23,730 млн. руб.  руб.</w:t>
      </w:r>
      <w:r w:rsidRPr="00736C77">
        <w:t xml:space="preserve"> </w:t>
      </w:r>
      <w:r>
        <w:t>с учетом НДС.</w:t>
      </w:r>
    </w:p>
    <w:p w:rsidR="004F2623" w:rsidRPr="0011520D" w:rsidRDefault="004F2623" w:rsidP="00824F86">
      <w:pPr>
        <w:pStyle w:val="Default"/>
        <w:ind w:firstLine="709"/>
        <w:jc w:val="both"/>
      </w:pPr>
    </w:p>
    <w:p w:rsidR="001838FD" w:rsidRDefault="001838FD" w:rsidP="00157000">
      <w:pPr>
        <w:pStyle w:val="Default"/>
        <w:ind w:firstLine="709"/>
        <w:jc w:val="both"/>
      </w:pPr>
    </w:p>
    <w:p w:rsidR="006C762E" w:rsidRDefault="00F56413" w:rsidP="006C762E">
      <w:pPr>
        <w:pStyle w:val="a4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137634270"/>
      <w:r>
        <w:rPr>
          <w:rFonts w:ascii="Times New Roman" w:hAnsi="Times New Roman" w:cs="Times New Roman"/>
          <w:b/>
          <w:sz w:val="24"/>
          <w:szCs w:val="24"/>
        </w:rPr>
        <w:t>И</w:t>
      </w:r>
      <w:r w:rsidR="006C762E" w:rsidRPr="006C762E">
        <w:rPr>
          <w:rFonts w:ascii="Times New Roman" w:hAnsi="Times New Roman" w:cs="Times New Roman"/>
          <w:b/>
          <w:sz w:val="24"/>
          <w:szCs w:val="24"/>
        </w:rPr>
        <w:t>нформация, указанная в абзацах 12-18 стандартов раскрытия информации субъектами оптового и розничных рынков электрической энергии</w:t>
      </w:r>
      <w:bookmarkEnd w:id="4"/>
    </w:p>
    <w:p w:rsidR="004F2623" w:rsidRDefault="004F2623" w:rsidP="00736C77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:rsidR="007646CC" w:rsidRPr="00415A05" w:rsidRDefault="00240ED2" w:rsidP="00736C77">
      <w:pPr>
        <w:spacing w:after="0" w:line="240" w:lineRule="auto"/>
        <w:ind w:firstLine="393"/>
        <w:jc w:val="both"/>
        <w:rPr>
          <w:rFonts w:ascii="Times New Roman" w:hAnsi="Times New Roman" w:cs="Times New Roman"/>
        </w:rPr>
      </w:pPr>
      <w:r w:rsidRPr="00240ED2">
        <w:rPr>
          <w:rFonts w:ascii="Times New Roman" w:hAnsi="Times New Roman" w:cs="Times New Roman"/>
          <w:sz w:val="24"/>
          <w:szCs w:val="24"/>
        </w:rPr>
        <w:t xml:space="preserve">Информация, указанная в абзацах 12-18 стандартов раскрытия информации субъектами оптового и розничных рынков электрической энергии в соответствии с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Правительства РФ от 21 января 2004 г. N 24 "Об утверждении стандартов раскрытия информации субъектами оптового и розничных рынков электрической энергии"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размещена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официальной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сайте ООО «Газпром энерго» </w:t>
      </w:r>
      <w:hyperlink r:id="rId8" w:history="1">
        <w:r w:rsidRPr="00415A05">
          <w:rPr>
            <w:rStyle w:val="a6"/>
            <w:rFonts w:ascii="Times New Roman" w:hAnsi="Times New Roman" w:cs="Times New Roman"/>
            <w:lang w:eastAsia="ru-RU"/>
          </w:rPr>
          <w:t>www.gazpromenergo.gazprom.ru</w:t>
        </w:r>
      </w:hyperlink>
      <w:r w:rsidR="007646CC" w:rsidRPr="00415A05">
        <w:rPr>
          <w:rFonts w:ascii="Times New Roman" w:hAnsi="Times New Roman" w:cs="Times New Roman"/>
          <w:lang w:eastAsia="ru-RU"/>
        </w:rPr>
        <w:t xml:space="preserve">, </w:t>
      </w:r>
      <w:hyperlink r:id="rId9" w:history="1">
        <w:r w:rsidR="007646CC" w:rsidRPr="00415A05">
          <w:rPr>
            <w:rStyle w:val="a6"/>
            <w:rFonts w:ascii="Times New Roman" w:hAnsi="Times New Roman" w:cs="Times New Roman"/>
          </w:rPr>
          <w:t>https://gazpromenergo.gazprom.ru/investors/1/</w:t>
        </w:r>
      </w:hyperlink>
    </w:p>
    <w:p w:rsidR="006C762E" w:rsidRPr="00240ED2" w:rsidRDefault="00240ED2" w:rsidP="007646CC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ED2">
        <w:rPr>
          <w:rFonts w:ascii="Arial" w:hAnsi="Arial" w:cs="Arial"/>
          <w:bCs/>
          <w:color w:val="000000"/>
          <w:sz w:val="18"/>
          <w:szCs w:val="18"/>
        </w:rPr>
        <w:br/>
      </w:r>
    </w:p>
    <w:p w:rsidR="001F1473" w:rsidRPr="00D91956" w:rsidRDefault="00142F8C" w:rsidP="005F3684">
      <w:pPr>
        <w:pStyle w:val="a4"/>
        <w:numPr>
          <w:ilvl w:val="0"/>
          <w:numId w:val="10"/>
        </w:num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5" w:name="_Toc137634271"/>
      <w:r w:rsidRPr="00D91956">
        <w:rPr>
          <w:rFonts w:ascii="Times New Roman" w:hAnsi="Times New Roman" w:cs="Times New Roman"/>
          <w:b/>
          <w:sz w:val="24"/>
          <w:szCs w:val="24"/>
        </w:rPr>
        <w:t>Заключение о целях и результатах выполнения инвестиционных проектов</w:t>
      </w:r>
      <w:bookmarkEnd w:id="5"/>
    </w:p>
    <w:p w:rsidR="004F2623" w:rsidRDefault="004F2623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1956" w:rsidRDefault="003B698E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Целями инвестиционной программы ООО «Газпром энерго» на 20</w:t>
      </w:r>
      <w:r w:rsidR="0051047B" w:rsidRPr="001F1473">
        <w:rPr>
          <w:rFonts w:ascii="Times New Roman" w:hAnsi="Times New Roman" w:cs="Times New Roman"/>
          <w:sz w:val="24"/>
          <w:szCs w:val="24"/>
        </w:rPr>
        <w:t>22</w:t>
      </w:r>
      <w:r w:rsidRPr="001F1473">
        <w:rPr>
          <w:rFonts w:ascii="Times New Roman" w:hAnsi="Times New Roman" w:cs="Times New Roman"/>
          <w:sz w:val="24"/>
          <w:szCs w:val="24"/>
        </w:rPr>
        <w:t>-202</w:t>
      </w:r>
      <w:r w:rsidR="0051047B" w:rsidRPr="001F1473">
        <w:rPr>
          <w:rFonts w:ascii="Times New Roman" w:hAnsi="Times New Roman" w:cs="Times New Roman"/>
          <w:sz w:val="24"/>
          <w:szCs w:val="24"/>
        </w:rPr>
        <w:t>6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гг. 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по реализации </w:t>
      </w:r>
      <w:r w:rsidR="00224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проекта</w:t>
      </w:r>
      <w:r w:rsidR="0022461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309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24617" w:rsidRPr="00824F86">
        <w:rPr>
          <w:rFonts w:ascii="Times New Roman" w:hAnsi="Times New Roman" w:cs="Times New Roman"/>
          <w:sz w:val="24"/>
          <w:szCs w:val="24"/>
        </w:rPr>
        <w:t>_AVTO/24</w:t>
      </w:r>
      <w:r w:rsidR="00224617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4617">
        <w:rPr>
          <w:rFonts w:ascii="Times New Roman" w:hAnsi="Times New Roman" w:cs="Times New Roman"/>
          <w:sz w:val="24"/>
          <w:szCs w:val="24"/>
        </w:rPr>
        <w:t>«</w:t>
      </w:r>
      <w:r w:rsidR="00224617" w:rsidRPr="00824F86">
        <w:rPr>
          <w:rFonts w:ascii="Times New Roman" w:hAnsi="Times New Roman" w:cs="Times New Roman"/>
          <w:sz w:val="24"/>
          <w:szCs w:val="24"/>
        </w:rPr>
        <w:t>Приобретение специализированного грузового автотранспорта</w:t>
      </w:r>
      <w:r w:rsidR="00224617">
        <w:rPr>
          <w:rFonts w:ascii="Times New Roman" w:hAnsi="Times New Roman" w:cs="Times New Roman"/>
          <w:sz w:val="24"/>
          <w:szCs w:val="24"/>
        </w:rPr>
        <w:t>»</w:t>
      </w:r>
      <w:r w:rsidR="00736C77">
        <w:rPr>
          <w:rFonts w:ascii="Times New Roman" w:hAnsi="Times New Roman" w:cs="Times New Roman"/>
          <w:sz w:val="24"/>
          <w:szCs w:val="24"/>
        </w:rPr>
        <w:t xml:space="preserve"> 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736C77" w:rsidRPr="008F4D27">
        <w:rPr>
          <w:rFonts w:ascii="Times New Roman" w:hAnsi="Times New Roman" w:cs="Times New Roman"/>
          <w:sz w:val="24"/>
          <w:szCs w:val="24"/>
        </w:rPr>
        <w:t>хозяйственное обеспечение деятельности сетевой организации</w:t>
      </w:r>
      <w:r w:rsidR="00483C9B" w:rsidRPr="001F1473">
        <w:rPr>
          <w:rFonts w:ascii="Times New Roman" w:hAnsi="Times New Roman" w:cs="Times New Roman"/>
          <w:sz w:val="24"/>
          <w:szCs w:val="24"/>
        </w:rPr>
        <w:t xml:space="preserve"> ООО «Газпром энерго».</w:t>
      </w:r>
    </w:p>
    <w:p w:rsidR="00142F8C" w:rsidRPr="001F1473" w:rsidRDefault="00736C77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проекта</w:t>
      </w:r>
      <w:r w:rsidR="00860AB7">
        <w:rPr>
          <w:rFonts w:ascii="Times New Roman" w:hAnsi="Times New Roman" w:cs="Times New Roman"/>
          <w:sz w:val="24"/>
          <w:szCs w:val="24"/>
        </w:rPr>
        <w:t xml:space="preserve"> и</w:t>
      </w:r>
      <w:r w:rsidR="00142F8C" w:rsidRPr="001F1473">
        <w:rPr>
          <w:rFonts w:ascii="Times New Roman" w:hAnsi="Times New Roman" w:cs="Times New Roman"/>
          <w:sz w:val="24"/>
          <w:szCs w:val="24"/>
        </w:rPr>
        <w:t xml:space="preserve">нвестиционной программы 2022-2026 гг. направлена на </w:t>
      </w:r>
      <w:r w:rsidR="008F4D27" w:rsidRPr="008F4D27">
        <w:rPr>
          <w:rFonts w:ascii="Times New Roman" w:hAnsi="Times New Roman" w:cs="Times New Roman"/>
          <w:sz w:val="24"/>
          <w:szCs w:val="24"/>
        </w:rPr>
        <w:t>хозяйственное обеспечение деятельности сетевой организации</w:t>
      </w:r>
      <w:r w:rsidR="008F4D27" w:rsidRPr="001F1473">
        <w:rPr>
          <w:rFonts w:ascii="Times New Roman" w:hAnsi="Times New Roman" w:cs="Times New Roman"/>
          <w:sz w:val="24"/>
          <w:szCs w:val="24"/>
        </w:rPr>
        <w:t xml:space="preserve"> ООО «Газпром энерго»</w:t>
      </w:r>
      <w:r w:rsidR="008F4D27">
        <w:rPr>
          <w:rFonts w:ascii="Times New Roman" w:hAnsi="Times New Roman" w:cs="Times New Roman"/>
          <w:sz w:val="24"/>
          <w:szCs w:val="24"/>
        </w:rPr>
        <w:t xml:space="preserve"> </w:t>
      </w:r>
      <w:r w:rsidR="00142F8C" w:rsidRPr="001F1473">
        <w:rPr>
          <w:rFonts w:ascii="Times New Roman" w:hAnsi="Times New Roman" w:cs="Times New Roman"/>
          <w:sz w:val="24"/>
          <w:szCs w:val="24"/>
        </w:rPr>
        <w:t xml:space="preserve">посредством приобретения </w:t>
      </w:r>
      <w:r w:rsidR="00224617">
        <w:rPr>
          <w:rFonts w:ascii="Times New Roman" w:hAnsi="Times New Roman" w:cs="Times New Roman"/>
          <w:sz w:val="24"/>
          <w:szCs w:val="24"/>
        </w:rPr>
        <w:t>специализированного автотранспорта</w:t>
      </w:r>
      <w:r w:rsidR="00142F8C" w:rsidRPr="001F1473">
        <w:rPr>
          <w:rFonts w:ascii="Times New Roman" w:hAnsi="Times New Roman" w:cs="Times New Roman"/>
          <w:sz w:val="24"/>
          <w:szCs w:val="24"/>
        </w:rPr>
        <w:t xml:space="preserve"> для осуществления</w:t>
      </w:r>
      <w:r w:rsidR="004F2623">
        <w:rPr>
          <w:rFonts w:ascii="Times New Roman" w:hAnsi="Times New Roman" w:cs="Times New Roman"/>
          <w:sz w:val="24"/>
          <w:szCs w:val="24"/>
        </w:rPr>
        <w:t xml:space="preserve"> производственной деятельности </w:t>
      </w:r>
      <w:r w:rsidR="00142F8C" w:rsidRPr="001F1473">
        <w:rPr>
          <w:rFonts w:ascii="Times New Roman" w:hAnsi="Times New Roman" w:cs="Times New Roman"/>
          <w:sz w:val="24"/>
          <w:szCs w:val="24"/>
        </w:rPr>
        <w:t>в следующих объемах:</w:t>
      </w:r>
    </w:p>
    <w:tbl>
      <w:tblPr>
        <w:tblW w:w="9619" w:type="dxa"/>
        <w:tblInd w:w="93" w:type="dxa"/>
        <w:tblLook w:val="04A0" w:firstRow="1" w:lastRow="0" w:firstColumn="1" w:lastColumn="0" w:noHBand="0" w:noVBand="1"/>
      </w:tblPr>
      <w:tblGrid>
        <w:gridCol w:w="567"/>
        <w:gridCol w:w="3251"/>
        <w:gridCol w:w="1798"/>
        <w:gridCol w:w="1762"/>
        <w:gridCol w:w="2241"/>
      </w:tblGrid>
      <w:tr w:rsidR="00333A29" w:rsidRPr="001F1473" w:rsidTr="00736C77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 xml:space="preserve">Наименование </w:t>
            </w: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инвестиционного </w:t>
            </w: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проекта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A29" w:rsidRPr="00333A29" w:rsidRDefault="00333A29" w:rsidP="00333A29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Идентификатор инвестиционного проекта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Количество </w:t>
            </w: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по</w:t>
            </w:r>
            <w:proofErr w:type="spellEnd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Инвестиционной программе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Полная стоимость проекта в ценах года реализации ИП, </w:t>
            </w: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млн.руб</w:t>
            </w:r>
            <w:proofErr w:type="spellEnd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. без НДС</w:t>
            </w:r>
          </w:p>
        </w:tc>
      </w:tr>
      <w:tr w:rsidR="00157000" w:rsidRPr="001F1473" w:rsidTr="00227A2E">
        <w:trPr>
          <w:trHeight w:val="7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00" w:rsidRPr="001F1473" w:rsidRDefault="00157000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00" w:rsidRPr="001F1473" w:rsidRDefault="00224617" w:rsidP="00240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617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специализированного грузового автотранспорта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00" w:rsidRPr="001F1473" w:rsidRDefault="009B3091" w:rsidP="0024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="00224617" w:rsidRPr="002246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_AVTO/24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00" w:rsidRPr="001F1473" w:rsidRDefault="00157000" w:rsidP="0024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1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proofErr w:type="spellStart"/>
            <w:r w:rsidRPr="001F1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  <w:r w:rsidRPr="001F1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00" w:rsidRPr="001F1473" w:rsidRDefault="00224617" w:rsidP="002405D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19,775</w:t>
            </w:r>
            <w:r w:rsidR="00860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</w:tbl>
    <w:p w:rsidR="0051047B" w:rsidRDefault="0051047B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698E" w:rsidRPr="001F1473" w:rsidRDefault="003B698E" w:rsidP="005F3684">
      <w:pPr>
        <w:pStyle w:val="Default"/>
        <w:numPr>
          <w:ilvl w:val="0"/>
          <w:numId w:val="10"/>
        </w:numPr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6" w:name="_Toc137634272"/>
      <w:r w:rsidRPr="001F1473">
        <w:rPr>
          <w:rFonts w:eastAsiaTheme="minorHAnsi"/>
          <w:b/>
          <w:color w:val="auto"/>
          <w:lang w:eastAsia="en-US"/>
        </w:rPr>
        <w:t>Контроль за реализацией инвестиционной программы</w:t>
      </w:r>
      <w:bookmarkEnd w:id="6"/>
    </w:p>
    <w:p w:rsidR="004F2623" w:rsidRDefault="004F2623" w:rsidP="005F3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C9B" w:rsidRPr="001F1473" w:rsidRDefault="00483C9B" w:rsidP="005F3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Контроль за ходом реализации инвестиционной программы осуществляется в соответствии с Правилами осуществления контроля за реализацией инвестиционных программ субъектов электроэнергетики, утверждёнными постановлением Правительства РФ от 01.12.2009 № 977.</w:t>
      </w:r>
    </w:p>
    <w:p w:rsidR="00483C9B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Информация о фактических расходах по реализации инвестиционных проектов предоставляется ежеквартально не позднее чем через 45 дней после окончания отчетного квартала, путем размещения на официальном сайте системы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21.01.2004 №24 "Об утверждении стандартов раскрытия информации субъектами оптового и розничных рынков электрической энергии", отчетов о реализации инвестиционных программ за предыдущий квартал.</w:t>
      </w:r>
    </w:p>
    <w:p w:rsidR="007279F8" w:rsidRPr="001F1473" w:rsidRDefault="007279F8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Ежеквартально осуществляется отчет по реализации Инвестиционной Программе по </w:t>
      </w:r>
      <w:r w:rsidR="005F3684">
        <w:rPr>
          <w:rFonts w:ascii="Times New Roman" w:hAnsi="Times New Roman" w:cs="Times New Roman"/>
          <w:sz w:val="24"/>
          <w:szCs w:val="24"/>
        </w:rPr>
        <w:t>п</w:t>
      </w:r>
      <w:r w:rsidR="005F3684" w:rsidRPr="005F3684">
        <w:rPr>
          <w:rFonts w:ascii="Times New Roman" w:hAnsi="Times New Roman" w:cs="Times New Roman"/>
          <w:sz w:val="24"/>
          <w:szCs w:val="24"/>
        </w:rPr>
        <w:t xml:space="preserve">риказу ФСТ России от 20.02.2014 №202-э "Об утверждении формы отчета об использовании инвестиционных ресурсов, включенных в регулируемые государством цены (тарифы) в сфере электроэнергетики и в сфере теплоснабжения" и </w:t>
      </w:r>
      <w:r w:rsidR="005F3684">
        <w:rPr>
          <w:rFonts w:ascii="Times New Roman" w:hAnsi="Times New Roman" w:cs="Times New Roman"/>
          <w:sz w:val="24"/>
          <w:szCs w:val="24"/>
        </w:rPr>
        <w:t>п</w:t>
      </w:r>
      <w:r w:rsidR="005F3684" w:rsidRPr="005F3684">
        <w:rPr>
          <w:rFonts w:ascii="Times New Roman" w:hAnsi="Times New Roman" w:cs="Times New Roman"/>
          <w:sz w:val="24"/>
          <w:szCs w:val="24"/>
        </w:rPr>
        <w:t>риказ</w:t>
      </w:r>
      <w:r w:rsidR="005F3684">
        <w:rPr>
          <w:rFonts w:ascii="Times New Roman" w:hAnsi="Times New Roman" w:cs="Times New Roman"/>
          <w:sz w:val="24"/>
          <w:szCs w:val="24"/>
        </w:rPr>
        <w:t>у</w:t>
      </w:r>
      <w:r w:rsidR="005F3684" w:rsidRPr="005F3684">
        <w:rPr>
          <w:rFonts w:ascii="Times New Roman" w:hAnsi="Times New Roman" w:cs="Times New Roman"/>
          <w:sz w:val="24"/>
          <w:szCs w:val="24"/>
        </w:rPr>
        <w:t xml:space="preserve"> М</w:t>
      </w:r>
      <w:r w:rsidR="005F3684">
        <w:rPr>
          <w:rFonts w:ascii="Times New Roman" w:hAnsi="Times New Roman" w:cs="Times New Roman"/>
          <w:sz w:val="24"/>
          <w:szCs w:val="24"/>
        </w:rPr>
        <w:t>инэнерго России от 24.03.2010 №</w:t>
      </w:r>
      <w:r w:rsidR="005F3684" w:rsidRPr="005F3684">
        <w:rPr>
          <w:rFonts w:ascii="Times New Roman" w:hAnsi="Times New Roman" w:cs="Times New Roman"/>
          <w:sz w:val="24"/>
          <w:szCs w:val="24"/>
        </w:rPr>
        <w:t>114 "Об утверждении формы инвестиционной программы субъектов электроэнергетики, в уставных капиталах которых участвует госу</w:t>
      </w:r>
      <w:r w:rsidR="005F3684">
        <w:rPr>
          <w:rFonts w:ascii="Times New Roman" w:hAnsi="Times New Roman" w:cs="Times New Roman"/>
          <w:sz w:val="24"/>
          <w:szCs w:val="24"/>
        </w:rPr>
        <w:t>дарство, и сетевых организаций".</w:t>
      </w:r>
    </w:p>
    <w:p w:rsidR="00483C9B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Ежегодно, до 1 апреля, размещается на официальном сайте системы в соответствии со стандартами раскрытия информации отчеты</w:t>
      </w:r>
      <w:r w:rsidR="005F3684">
        <w:rPr>
          <w:rFonts w:ascii="Times New Roman" w:hAnsi="Times New Roman" w:cs="Times New Roman"/>
          <w:sz w:val="24"/>
          <w:szCs w:val="24"/>
        </w:rPr>
        <w:t xml:space="preserve"> по утвержденным формам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 реализации инвестиционных программ за предыдущий год.</w:t>
      </w:r>
    </w:p>
    <w:p w:rsidR="00157000" w:rsidRDefault="00157000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127" w:rsidRDefault="00872127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5C7" w:rsidRDefault="007625C7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5C7" w:rsidRDefault="007625C7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5C7" w:rsidRDefault="007625C7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98E" w:rsidRPr="001F1473" w:rsidRDefault="003B698E" w:rsidP="005F3684">
      <w:pPr>
        <w:pStyle w:val="Default"/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7" w:name="_Toc137634273"/>
      <w:r w:rsidRPr="001F1473">
        <w:rPr>
          <w:rFonts w:eastAsiaTheme="minorHAnsi"/>
          <w:b/>
          <w:color w:val="auto"/>
          <w:lang w:eastAsia="en-US"/>
        </w:rPr>
        <w:lastRenderedPageBreak/>
        <w:t>Заключение</w:t>
      </w:r>
      <w:bookmarkEnd w:id="7"/>
    </w:p>
    <w:p w:rsidR="004F2623" w:rsidRDefault="004F2623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</w:p>
    <w:p w:rsidR="001409C6" w:rsidRDefault="003B698E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1F1473">
        <w:rPr>
          <w:rFonts w:eastAsiaTheme="minorHAnsi"/>
          <w:color w:val="auto"/>
          <w:lang w:eastAsia="en-US"/>
        </w:rPr>
        <w:t xml:space="preserve">Инвестиционные затраты ООО «Газпром энерго» </w:t>
      </w:r>
      <w:r w:rsidR="00A8715B" w:rsidRPr="001F1473">
        <w:rPr>
          <w:rFonts w:eastAsiaTheme="minorHAnsi"/>
          <w:color w:val="auto"/>
          <w:lang w:eastAsia="en-US"/>
        </w:rPr>
        <w:t xml:space="preserve">на реализацию инвестиционных проектов по </w:t>
      </w:r>
      <w:r w:rsidR="00483C9B" w:rsidRPr="001F1473">
        <w:rPr>
          <w:rFonts w:eastAsiaTheme="minorHAnsi"/>
          <w:color w:val="auto"/>
          <w:lang w:eastAsia="en-US"/>
        </w:rPr>
        <w:t xml:space="preserve">Тульской </w:t>
      </w:r>
      <w:r w:rsidR="00A8715B" w:rsidRPr="001F1473">
        <w:rPr>
          <w:rFonts w:eastAsiaTheme="minorHAnsi"/>
          <w:color w:val="auto"/>
          <w:lang w:eastAsia="en-US"/>
        </w:rPr>
        <w:t xml:space="preserve">области в период 2022-2026 год </w:t>
      </w:r>
      <w:r w:rsidRPr="001F1473">
        <w:rPr>
          <w:rFonts w:eastAsiaTheme="minorHAnsi"/>
          <w:color w:val="auto"/>
          <w:lang w:eastAsia="en-US"/>
        </w:rPr>
        <w:t>не окупаются</w:t>
      </w:r>
      <w:r w:rsidR="00A8715B" w:rsidRPr="001F1473">
        <w:rPr>
          <w:rFonts w:eastAsiaTheme="minorHAnsi"/>
          <w:color w:val="auto"/>
          <w:lang w:eastAsia="en-US"/>
        </w:rPr>
        <w:t xml:space="preserve">. </w:t>
      </w:r>
      <w:r w:rsidRPr="001F1473">
        <w:rPr>
          <w:rFonts w:eastAsiaTheme="minorHAnsi"/>
          <w:color w:val="auto"/>
          <w:lang w:eastAsia="en-US"/>
        </w:rPr>
        <w:t>Однако</w:t>
      </w:r>
      <w:r w:rsidR="002B773D">
        <w:rPr>
          <w:rFonts w:eastAsiaTheme="minorHAnsi"/>
          <w:color w:val="auto"/>
          <w:lang w:eastAsia="en-US"/>
        </w:rPr>
        <w:t xml:space="preserve"> при реализации </w:t>
      </w:r>
      <w:r w:rsidR="00860AB7">
        <w:rPr>
          <w:rFonts w:eastAsiaTheme="minorHAnsi"/>
          <w:color w:val="auto"/>
          <w:lang w:eastAsia="en-US"/>
        </w:rPr>
        <w:t>и</w:t>
      </w:r>
      <w:r w:rsidR="00736C77">
        <w:rPr>
          <w:rFonts w:eastAsiaTheme="minorHAnsi"/>
          <w:color w:val="auto"/>
          <w:lang w:eastAsia="en-US"/>
        </w:rPr>
        <w:t>нвестиционного проекта</w:t>
      </w:r>
      <w:r w:rsidR="008F4D27">
        <w:rPr>
          <w:rFonts w:eastAsiaTheme="minorHAnsi"/>
          <w:color w:val="auto"/>
          <w:lang w:eastAsia="en-US"/>
        </w:rPr>
        <w:t xml:space="preserve"> </w:t>
      </w:r>
      <w:r w:rsidR="00BB622A">
        <w:rPr>
          <w:lang w:val="en-US"/>
        </w:rPr>
        <w:t>N</w:t>
      </w:r>
      <w:r w:rsidR="00224617" w:rsidRPr="00224617">
        <w:t>_AVTO/24</w:t>
      </w:r>
      <w:r w:rsidR="008F4D27" w:rsidRPr="001F1473">
        <w:t xml:space="preserve"> </w:t>
      </w:r>
      <w:r w:rsidR="005D084C">
        <w:t>«</w:t>
      </w:r>
      <w:r w:rsidR="00224617" w:rsidRPr="00224617">
        <w:t>Приобретение специализированного грузового автотранспорта</w:t>
      </w:r>
      <w:r w:rsidR="005D084C">
        <w:t>»</w:t>
      </w:r>
      <w:r w:rsidRPr="001F1473">
        <w:rPr>
          <w:rFonts w:eastAsiaTheme="minorHAnsi"/>
          <w:color w:val="auto"/>
          <w:lang w:eastAsia="en-US"/>
        </w:rPr>
        <w:t xml:space="preserve"> достигается основная цель -</w:t>
      </w:r>
      <w:r w:rsidR="00736C77">
        <w:rPr>
          <w:rFonts w:eastAsiaTheme="minorHAnsi"/>
          <w:color w:val="auto"/>
          <w:lang w:eastAsia="en-US"/>
        </w:rPr>
        <w:t xml:space="preserve"> </w:t>
      </w:r>
      <w:r w:rsidR="008F4D27" w:rsidRPr="00426A8D">
        <w:rPr>
          <w:rFonts w:eastAsiaTheme="minorHAnsi"/>
          <w:color w:val="auto"/>
          <w:lang w:eastAsia="en-US"/>
        </w:rPr>
        <w:t>хозяйственное обеспечение деятельности сетевой организации ООО «Газпром энерго»</w:t>
      </w:r>
      <w:r w:rsidR="00483C9B" w:rsidRPr="00426A8D">
        <w:rPr>
          <w:rFonts w:eastAsiaTheme="minorHAnsi"/>
          <w:color w:val="auto"/>
          <w:lang w:eastAsia="en-US"/>
        </w:rPr>
        <w:t>.</w:t>
      </w:r>
      <w:r w:rsidR="00A8715B" w:rsidRPr="00426A8D">
        <w:rPr>
          <w:rFonts w:eastAsiaTheme="minorHAnsi"/>
          <w:color w:val="auto"/>
          <w:lang w:eastAsia="en-US"/>
        </w:rPr>
        <w:t xml:space="preserve"> </w:t>
      </w:r>
    </w:p>
    <w:p w:rsidR="003B698E" w:rsidRPr="00426A8D" w:rsidRDefault="00426A8D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426A8D">
        <w:rPr>
          <w:rFonts w:eastAsiaTheme="minorHAnsi"/>
          <w:color w:val="auto"/>
          <w:lang w:eastAsia="en-US"/>
        </w:rPr>
        <w:t xml:space="preserve">Полная стоимость инвестиционного проекта составила </w:t>
      </w:r>
      <w:r w:rsidR="00224617" w:rsidRPr="00224617">
        <w:rPr>
          <w:rFonts w:eastAsiaTheme="minorHAnsi"/>
          <w:color w:val="000000" w:themeColor="text1"/>
          <w:lang w:eastAsia="en-US"/>
        </w:rPr>
        <w:t>1</w:t>
      </w:r>
      <w:r w:rsidR="00860AB7">
        <w:rPr>
          <w:rFonts w:eastAsiaTheme="minorHAnsi"/>
          <w:color w:val="000000" w:themeColor="text1"/>
          <w:lang w:eastAsia="en-US"/>
        </w:rPr>
        <w:t>8</w:t>
      </w:r>
      <w:r w:rsidR="00224617" w:rsidRPr="00224617">
        <w:rPr>
          <w:rFonts w:eastAsiaTheme="minorHAnsi"/>
          <w:color w:val="000000" w:themeColor="text1"/>
          <w:lang w:eastAsia="en-US"/>
        </w:rPr>
        <w:t>,</w:t>
      </w:r>
      <w:r w:rsidR="00860AB7">
        <w:rPr>
          <w:rFonts w:eastAsiaTheme="minorHAnsi"/>
          <w:color w:val="000000" w:themeColor="text1"/>
          <w:lang w:eastAsia="en-US"/>
        </w:rPr>
        <w:t>190000</w:t>
      </w:r>
      <w:r w:rsidRPr="00224617">
        <w:rPr>
          <w:rFonts w:eastAsiaTheme="minorHAnsi"/>
          <w:color w:val="000000" w:themeColor="text1"/>
          <w:lang w:eastAsia="en-US"/>
        </w:rPr>
        <w:t xml:space="preserve"> </w:t>
      </w:r>
      <w:r w:rsidRPr="00426A8D">
        <w:rPr>
          <w:rFonts w:eastAsiaTheme="minorHAnsi"/>
          <w:color w:val="auto"/>
          <w:lang w:eastAsia="en-US"/>
        </w:rPr>
        <w:t>млн.</w:t>
      </w:r>
      <w:r w:rsidR="002A6AE7">
        <w:rPr>
          <w:rFonts w:eastAsiaTheme="minorHAnsi"/>
          <w:color w:val="auto"/>
          <w:lang w:eastAsia="en-US"/>
        </w:rPr>
        <w:t xml:space="preserve"> </w:t>
      </w:r>
      <w:r w:rsidRPr="00426A8D">
        <w:rPr>
          <w:rFonts w:eastAsiaTheme="minorHAnsi"/>
          <w:color w:val="auto"/>
          <w:lang w:eastAsia="en-US"/>
        </w:rPr>
        <w:t>руб. без НДС</w:t>
      </w:r>
      <w:r w:rsidRPr="003F1EFE">
        <w:rPr>
          <w:rFonts w:eastAsiaTheme="minorHAnsi"/>
          <w:color w:val="auto"/>
          <w:lang w:eastAsia="en-US"/>
        </w:rPr>
        <w:t>.</w:t>
      </w:r>
      <w:r w:rsidR="00860AB7">
        <w:rPr>
          <w:rFonts w:eastAsiaTheme="minorHAnsi"/>
          <w:color w:val="auto"/>
          <w:lang w:eastAsia="en-US"/>
        </w:rPr>
        <w:t xml:space="preserve"> Автомобиль закуплен и введен в эксплуатацию в 1 кв. 2024 года.</w:t>
      </w:r>
    </w:p>
    <w:p w:rsidR="00426A8D" w:rsidRPr="001F1473" w:rsidRDefault="00426A8D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426A8D">
        <w:rPr>
          <w:rFonts w:eastAsiaTheme="minorHAnsi"/>
          <w:color w:val="auto"/>
          <w:lang w:eastAsia="en-US"/>
        </w:rPr>
        <w:t>ООО «Газпром энерго» в лице Центрального филиала предусматривает финансирование инвестиционно</w:t>
      </w:r>
      <w:bookmarkStart w:id="8" w:name="_GoBack"/>
      <w:bookmarkEnd w:id="8"/>
      <w:r w:rsidRPr="00426A8D">
        <w:rPr>
          <w:rFonts w:eastAsiaTheme="minorHAnsi"/>
          <w:color w:val="auto"/>
          <w:lang w:eastAsia="en-US"/>
        </w:rPr>
        <w:t>го проекта с использованием инвестиционных ресурсов, учитываемых при установлении тарифов</w:t>
      </w:r>
      <w:r>
        <w:t xml:space="preserve">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(тарифов).</w:t>
      </w:r>
    </w:p>
    <w:p w:rsidR="00426A8D" w:rsidRDefault="00426A8D" w:rsidP="005F3684">
      <w:pPr>
        <w:pStyle w:val="Default"/>
        <w:jc w:val="both"/>
      </w:pPr>
    </w:p>
    <w:p w:rsidR="00426A8D" w:rsidRDefault="00426A8D" w:rsidP="005F3684">
      <w:pPr>
        <w:pStyle w:val="Defaul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554"/>
      </w:tblGrid>
      <w:tr w:rsidR="003E20E3" w:rsidTr="00333A29">
        <w:tc>
          <w:tcPr>
            <w:tcW w:w="1951" w:type="dxa"/>
          </w:tcPr>
          <w:p w:rsidR="003E20E3" w:rsidRPr="00333A29" w:rsidRDefault="003E20E3" w:rsidP="005F3684">
            <w:pPr>
              <w:pStyle w:val="Default"/>
              <w:jc w:val="both"/>
              <w:rPr>
                <w:rFonts w:eastAsiaTheme="minorHAnsi"/>
                <w:b/>
                <w:color w:val="auto"/>
                <w:lang w:eastAsia="en-US"/>
              </w:rPr>
            </w:pPr>
            <w:r w:rsidRPr="00333A29">
              <w:rPr>
                <w:rFonts w:eastAsiaTheme="minorHAnsi"/>
                <w:b/>
                <w:color w:val="auto"/>
                <w:lang w:eastAsia="en-US"/>
              </w:rPr>
              <w:t>Приложение:</w:t>
            </w:r>
          </w:p>
        </w:tc>
        <w:tc>
          <w:tcPr>
            <w:tcW w:w="7761" w:type="dxa"/>
          </w:tcPr>
          <w:p w:rsidR="003E20E3" w:rsidRPr="00157000" w:rsidRDefault="00690C4F" w:rsidP="00224617">
            <w:pPr>
              <w:pStyle w:val="a4"/>
              <w:tabs>
                <w:tab w:val="left" w:pos="22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Коммерческие предложения</w:t>
            </w:r>
            <w:r w:rsidR="00157000"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 </w:t>
            </w:r>
            <w:r w:rsidR="0022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57000"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2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157000"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файл</w:t>
            </w:r>
            <w:r w:rsidR="00224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="00157000" w:rsidRPr="00157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B773D" w:rsidRDefault="002B773D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8F4D27" w:rsidRDefault="008F4D27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271498" w:rsidRDefault="00594C36" w:rsidP="005F3684">
      <w:pPr>
        <w:pStyle w:val="Default"/>
        <w:jc w:val="both"/>
        <w:rPr>
          <w:rFonts w:eastAsiaTheme="minorHAnsi"/>
          <w:b/>
          <w:color w:val="auto"/>
          <w:lang w:eastAsia="en-US"/>
        </w:rPr>
      </w:pPr>
      <w:r>
        <w:rPr>
          <w:rFonts w:eastAsiaTheme="minorHAnsi"/>
          <w:b/>
          <w:color w:val="auto"/>
          <w:lang w:eastAsia="en-US"/>
        </w:rPr>
        <w:t>Директор филиала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</w:t>
      </w:r>
      <w:r>
        <w:rPr>
          <w:rFonts w:eastAsiaTheme="minorHAnsi"/>
          <w:b/>
          <w:color w:val="auto"/>
          <w:lang w:eastAsia="en-US"/>
        </w:rPr>
        <w:t xml:space="preserve">            В.В. Острик</w:t>
      </w:r>
    </w:p>
    <w:sectPr w:rsidR="00271498" w:rsidSect="00740F6C">
      <w:footerReference w:type="default" r:id="rId1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8A8" w:rsidRDefault="007C68A8" w:rsidP="00FA6E48">
      <w:pPr>
        <w:spacing w:after="0" w:line="240" w:lineRule="auto"/>
      </w:pPr>
      <w:r>
        <w:separator/>
      </w:r>
    </w:p>
  </w:endnote>
  <w:endnote w:type="continuationSeparator" w:id="0">
    <w:p w:rsidR="007C68A8" w:rsidRDefault="007C68A8" w:rsidP="00FA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73370"/>
      <w:docPartObj>
        <w:docPartGallery w:val="Page Numbers (Bottom of Page)"/>
        <w:docPartUnique/>
      </w:docPartObj>
    </w:sdtPr>
    <w:sdtEndPr/>
    <w:sdtContent>
      <w:p w:rsidR="003902FD" w:rsidRDefault="003902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903">
          <w:rPr>
            <w:noProof/>
          </w:rPr>
          <w:t>6</w:t>
        </w:r>
        <w:r>
          <w:fldChar w:fldCharType="end"/>
        </w:r>
      </w:p>
    </w:sdtContent>
  </w:sdt>
  <w:p w:rsidR="003902FD" w:rsidRDefault="003902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8A8" w:rsidRDefault="007C68A8" w:rsidP="00FA6E48">
      <w:pPr>
        <w:spacing w:after="0" w:line="240" w:lineRule="auto"/>
      </w:pPr>
      <w:r>
        <w:separator/>
      </w:r>
    </w:p>
  </w:footnote>
  <w:footnote w:type="continuationSeparator" w:id="0">
    <w:p w:rsidR="007C68A8" w:rsidRDefault="007C68A8" w:rsidP="00FA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C74CF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A75D8"/>
    <w:multiLevelType w:val="hybridMultilevel"/>
    <w:tmpl w:val="A44A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D253A"/>
    <w:multiLevelType w:val="multilevel"/>
    <w:tmpl w:val="CD94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136EB4"/>
    <w:multiLevelType w:val="hybridMultilevel"/>
    <w:tmpl w:val="990E2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03369"/>
    <w:multiLevelType w:val="multilevel"/>
    <w:tmpl w:val="85A69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8C122F0"/>
    <w:multiLevelType w:val="hybridMultilevel"/>
    <w:tmpl w:val="F13419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A5414"/>
    <w:multiLevelType w:val="hybridMultilevel"/>
    <w:tmpl w:val="045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A1C13"/>
    <w:multiLevelType w:val="multilevel"/>
    <w:tmpl w:val="9B103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71649B7"/>
    <w:multiLevelType w:val="hybridMultilevel"/>
    <w:tmpl w:val="A894DF60"/>
    <w:lvl w:ilvl="0" w:tplc="DCBCC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B5060A"/>
    <w:multiLevelType w:val="hybridMultilevel"/>
    <w:tmpl w:val="83909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0624E"/>
    <w:multiLevelType w:val="hybridMultilevel"/>
    <w:tmpl w:val="A3B27502"/>
    <w:lvl w:ilvl="0" w:tplc="31829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61F34"/>
    <w:multiLevelType w:val="hybridMultilevel"/>
    <w:tmpl w:val="98E634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50B2A08"/>
    <w:multiLevelType w:val="multilevel"/>
    <w:tmpl w:val="A774BF9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hint="default"/>
      </w:rPr>
    </w:lvl>
  </w:abstractNum>
  <w:abstractNum w:abstractNumId="13">
    <w:nsid w:val="6A10463E"/>
    <w:multiLevelType w:val="hybridMultilevel"/>
    <w:tmpl w:val="F4E2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76B75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9662F"/>
    <w:multiLevelType w:val="hybridMultilevel"/>
    <w:tmpl w:val="E726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14"/>
  </w:num>
  <w:num w:numId="9">
    <w:abstractNumId w:val="2"/>
  </w:num>
  <w:num w:numId="10">
    <w:abstractNumId w:val="12"/>
  </w:num>
  <w:num w:numId="11">
    <w:abstractNumId w:val="7"/>
  </w:num>
  <w:num w:numId="12">
    <w:abstractNumId w:val="1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C6"/>
    <w:rsid w:val="00006998"/>
    <w:rsid w:val="0003002F"/>
    <w:rsid w:val="000334C2"/>
    <w:rsid w:val="00035C57"/>
    <w:rsid w:val="00052897"/>
    <w:rsid w:val="00056285"/>
    <w:rsid w:val="00074907"/>
    <w:rsid w:val="00085736"/>
    <w:rsid w:val="000973FC"/>
    <w:rsid w:val="000C08B4"/>
    <w:rsid w:val="000C2673"/>
    <w:rsid w:val="000C2BDF"/>
    <w:rsid w:val="000D269D"/>
    <w:rsid w:val="000D3AAA"/>
    <w:rsid w:val="000D3E89"/>
    <w:rsid w:val="000D577B"/>
    <w:rsid w:val="00113655"/>
    <w:rsid w:val="00113DC3"/>
    <w:rsid w:val="001162E4"/>
    <w:rsid w:val="001409C6"/>
    <w:rsid w:val="00142F8C"/>
    <w:rsid w:val="0015533F"/>
    <w:rsid w:val="00157000"/>
    <w:rsid w:val="00161165"/>
    <w:rsid w:val="001838FD"/>
    <w:rsid w:val="001839F0"/>
    <w:rsid w:val="001917C2"/>
    <w:rsid w:val="00192857"/>
    <w:rsid w:val="001A1D29"/>
    <w:rsid w:val="001A3C22"/>
    <w:rsid w:val="001C146E"/>
    <w:rsid w:val="001D5668"/>
    <w:rsid w:val="001F1473"/>
    <w:rsid w:val="00204D93"/>
    <w:rsid w:val="00214B9B"/>
    <w:rsid w:val="00221A87"/>
    <w:rsid w:val="00224617"/>
    <w:rsid w:val="00227A2E"/>
    <w:rsid w:val="0023399D"/>
    <w:rsid w:val="00240ED2"/>
    <w:rsid w:val="00247923"/>
    <w:rsid w:val="00271498"/>
    <w:rsid w:val="00282A48"/>
    <w:rsid w:val="002864C6"/>
    <w:rsid w:val="002A1AE9"/>
    <w:rsid w:val="002A6AE7"/>
    <w:rsid w:val="002B4EB6"/>
    <w:rsid w:val="002B773D"/>
    <w:rsid w:val="002D7E34"/>
    <w:rsid w:val="002E2926"/>
    <w:rsid w:val="002F6F41"/>
    <w:rsid w:val="00300711"/>
    <w:rsid w:val="003118DD"/>
    <w:rsid w:val="00330663"/>
    <w:rsid w:val="0033220E"/>
    <w:rsid w:val="00333A29"/>
    <w:rsid w:val="00344811"/>
    <w:rsid w:val="003902FD"/>
    <w:rsid w:val="003933A7"/>
    <w:rsid w:val="00397AC9"/>
    <w:rsid w:val="003B5D80"/>
    <w:rsid w:val="003B698E"/>
    <w:rsid w:val="003C584D"/>
    <w:rsid w:val="003D26FE"/>
    <w:rsid w:val="003D3E5C"/>
    <w:rsid w:val="003E14D2"/>
    <w:rsid w:val="003E20E3"/>
    <w:rsid w:val="003F1EFE"/>
    <w:rsid w:val="003F56AA"/>
    <w:rsid w:val="00415A05"/>
    <w:rsid w:val="00425842"/>
    <w:rsid w:val="00426A8D"/>
    <w:rsid w:val="004306EB"/>
    <w:rsid w:val="00454853"/>
    <w:rsid w:val="004648AD"/>
    <w:rsid w:val="0047156A"/>
    <w:rsid w:val="00483C9B"/>
    <w:rsid w:val="004865BB"/>
    <w:rsid w:val="004868B3"/>
    <w:rsid w:val="0049298E"/>
    <w:rsid w:val="00492BBE"/>
    <w:rsid w:val="0049727B"/>
    <w:rsid w:val="004A197A"/>
    <w:rsid w:val="004A1A80"/>
    <w:rsid w:val="004C54A7"/>
    <w:rsid w:val="004C7B3A"/>
    <w:rsid w:val="004F05E8"/>
    <w:rsid w:val="004F2623"/>
    <w:rsid w:val="004F4759"/>
    <w:rsid w:val="0051047B"/>
    <w:rsid w:val="00550D07"/>
    <w:rsid w:val="00561C93"/>
    <w:rsid w:val="00571149"/>
    <w:rsid w:val="00582DB1"/>
    <w:rsid w:val="00585B0C"/>
    <w:rsid w:val="00590679"/>
    <w:rsid w:val="00594C36"/>
    <w:rsid w:val="005D084C"/>
    <w:rsid w:val="005F3684"/>
    <w:rsid w:val="005F3E47"/>
    <w:rsid w:val="006045FE"/>
    <w:rsid w:val="00610979"/>
    <w:rsid w:val="00630FC1"/>
    <w:rsid w:val="006608B4"/>
    <w:rsid w:val="00663753"/>
    <w:rsid w:val="00675441"/>
    <w:rsid w:val="006806D6"/>
    <w:rsid w:val="00683CD6"/>
    <w:rsid w:val="00690A89"/>
    <w:rsid w:val="00690C4F"/>
    <w:rsid w:val="006A3F8B"/>
    <w:rsid w:val="006C762E"/>
    <w:rsid w:val="006E2BF8"/>
    <w:rsid w:val="006E7146"/>
    <w:rsid w:val="00706887"/>
    <w:rsid w:val="007279F8"/>
    <w:rsid w:val="00736C77"/>
    <w:rsid w:val="00740F6C"/>
    <w:rsid w:val="00760CC0"/>
    <w:rsid w:val="007625C7"/>
    <w:rsid w:val="007646CC"/>
    <w:rsid w:val="00796AE3"/>
    <w:rsid w:val="007B4DFB"/>
    <w:rsid w:val="007B574E"/>
    <w:rsid w:val="007C68A8"/>
    <w:rsid w:val="007D7CD6"/>
    <w:rsid w:val="007E4E00"/>
    <w:rsid w:val="007F7467"/>
    <w:rsid w:val="00806AC8"/>
    <w:rsid w:val="00812F91"/>
    <w:rsid w:val="00824F86"/>
    <w:rsid w:val="00826B8C"/>
    <w:rsid w:val="0084242E"/>
    <w:rsid w:val="00860AB7"/>
    <w:rsid w:val="00867BD8"/>
    <w:rsid w:val="00872127"/>
    <w:rsid w:val="008E76D5"/>
    <w:rsid w:val="008F4D27"/>
    <w:rsid w:val="0095091E"/>
    <w:rsid w:val="00961F95"/>
    <w:rsid w:val="00970E46"/>
    <w:rsid w:val="009A23EE"/>
    <w:rsid w:val="009A4AA0"/>
    <w:rsid w:val="009B3091"/>
    <w:rsid w:val="009C0C19"/>
    <w:rsid w:val="009E740B"/>
    <w:rsid w:val="00A13F5B"/>
    <w:rsid w:val="00A3548E"/>
    <w:rsid w:val="00A63A1E"/>
    <w:rsid w:val="00A720BC"/>
    <w:rsid w:val="00A7685A"/>
    <w:rsid w:val="00A8715B"/>
    <w:rsid w:val="00AA1BED"/>
    <w:rsid w:val="00AA3B92"/>
    <w:rsid w:val="00AA4FD8"/>
    <w:rsid w:val="00AB4155"/>
    <w:rsid w:val="00AB50B9"/>
    <w:rsid w:val="00AC44AC"/>
    <w:rsid w:val="00AC7323"/>
    <w:rsid w:val="00AF6E02"/>
    <w:rsid w:val="00B1779A"/>
    <w:rsid w:val="00B20D35"/>
    <w:rsid w:val="00B22D56"/>
    <w:rsid w:val="00B25E2A"/>
    <w:rsid w:val="00B27EB4"/>
    <w:rsid w:val="00B40A10"/>
    <w:rsid w:val="00B4783E"/>
    <w:rsid w:val="00B54BAE"/>
    <w:rsid w:val="00B7321C"/>
    <w:rsid w:val="00BB1B5E"/>
    <w:rsid w:val="00BB5E14"/>
    <w:rsid w:val="00BB622A"/>
    <w:rsid w:val="00BC7B93"/>
    <w:rsid w:val="00BD3C44"/>
    <w:rsid w:val="00BD5E47"/>
    <w:rsid w:val="00BF3A59"/>
    <w:rsid w:val="00C01609"/>
    <w:rsid w:val="00C01EAE"/>
    <w:rsid w:val="00C4737A"/>
    <w:rsid w:val="00C645C9"/>
    <w:rsid w:val="00C82620"/>
    <w:rsid w:val="00C97644"/>
    <w:rsid w:val="00CD3592"/>
    <w:rsid w:val="00CE7E0B"/>
    <w:rsid w:val="00D007E5"/>
    <w:rsid w:val="00D017DA"/>
    <w:rsid w:val="00D01A99"/>
    <w:rsid w:val="00D24364"/>
    <w:rsid w:val="00D32B69"/>
    <w:rsid w:val="00D832EA"/>
    <w:rsid w:val="00D91956"/>
    <w:rsid w:val="00E002B4"/>
    <w:rsid w:val="00E06F4F"/>
    <w:rsid w:val="00E21903"/>
    <w:rsid w:val="00E45DCF"/>
    <w:rsid w:val="00E50728"/>
    <w:rsid w:val="00E50C3C"/>
    <w:rsid w:val="00E7196F"/>
    <w:rsid w:val="00E77AFC"/>
    <w:rsid w:val="00E92CC9"/>
    <w:rsid w:val="00EB01AA"/>
    <w:rsid w:val="00ED00D4"/>
    <w:rsid w:val="00EF162B"/>
    <w:rsid w:val="00F04A85"/>
    <w:rsid w:val="00F11C82"/>
    <w:rsid w:val="00F24B35"/>
    <w:rsid w:val="00F316C0"/>
    <w:rsid w:val="00F374F3"/>
    <w:rsid w:val="00F56413"/>
    <w:rsid w:val="00F8742A"/>
    <w:rsid w:val="00F9664E"/>
    <w:rsid w:val="00FA6E48"/>
    <w:rsid w:val="00FB1D51"/>
    <w:rsid w:val="00FB5A06"/>
    <w:rsid w:val="00FE6F41"/>
    <w:rsid w:val="00FE7C44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A0E779FA-A914-43E3-821B-01823107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2673"/>
    <w:pPr>
      <w:ind w:left="720"/>
      <w:contextualSpacing/>
    </w:pPr>
  </w:style>
  <w:style w:type="paragraph" w:customStyle="1" w:styleId="Default">
    <w:name w:val="Default"/>
    <w:rsid w:val="00492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0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01EA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98E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497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6E48"/>
  </w:style>
  <w:style w:type="paragraph" w:styleId="ab">
    <w:name w:val="footer"/>
    <w:basedOn w:val="a"/>
    <w:link w:val="ac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6E48"/>
  </w:style>
  <w:style w:type="paragraph" w:styleId="ad">
    <w:name w:val="Revision"/>
    <w:hidden/>
    <w:uiPriority w:val="99"/>
    <w:semiHidden/>
    <w:rsid w:val="006E2B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C1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8E7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8E76D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">
    <w:name w:val="No Spacing"/>
    <w:link w:val="af0"/>
    <w:uiPriority w:val="1"/>
    <w:qFormat/>
    <w:rsid w:val="008E76D5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8E76D5"/>
    <w:rPr>
      <w:rFonts w:eastAsiaTheme="minorEastAsia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92857"/>
    <w:pPr>
      <w:spacing w:after="100"/>
      <w:ind w:left="220"/>
    </w:pPr>
  </w:style>
  <w:style w:type="character" w:styleId="af1">
    <w:name w:val="Strong"/>
    <w:basedOn w:val="a0"/>
    <w:uiPriority w:val="22"/>
    <w:qFormat/>
    <w:rsid w:val="004868B3"/>
    <w:rPr>
      <w:b/>
      <w:bCs/>
    </w:rPr>
  </w:style>
  <w:style w:type="character" w:customStyle="1" w:styleId="apple-converted-space">
    <w:name w:val="apple-converted-space"/>
    <w:basedOn w:val="a0"/>
    <w:rsid w:val="00AC44AC"/>
  </w:style>
  <w:style w:type="character" w:styleId="af2">
    <w:name w:val="FollowedHyperlink"/>
    <w:basedOn w:val="a0"/>
    <w:uiPriority w:val="99"/>
    <w:semiHidden/>
    <w:unhideWhenUsed/>
    <w:rsid w:val="005D084C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D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16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84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2369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9518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energo.gaz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azpromenergo.gazprom.ru/investors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1982C-82A2-4A7E-8B65-ECFA5860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Блохина Елена Петровна</cp:lastModifiedBy>
  <cp:revision>7</cp:revision>
  <cp:lastPrinted>2020-03-25T11:58:00Z</cp:lastPrinted>
  <dcterms:created xsi:type="dcterms:W3CDTF">2023-06-20T13:53:00Z</dcterms:created>
  <dcterms:modified xsi:type="dcterms:W3CDTF">2024-04-04T11:07:00Z</dcterms:modified>
</cp:coreProperties>
</file>