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25DB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12F91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6577B4">
        <w:rPr>
          <w:rFonts w:ascii="Times New Roman" w:hAnsi="Times New Roman" w:cs="Times New Roman"/>
          <w:b/>
          <w:sz w:val="24"/>
          <w:szCs w:val="24"/>
        </w:rPr>
        <w:t>проекту корректировки и</w:t>
      </w:r>
      <w:r w:rsidRPr="001F1473">
        <w:rPr>
          <w:rFonts w:ascii="Times New Roman" w:hAnsi="Times New Roman" w:cs="Times New Roman"/>
          <w:b/>
          <w:sz w:val="24"/>
          <w:szCs w:val="24"/>
        </w:rPr>
        <w:t>нвестиционной программ</w:t>
      </w:r>
      <w:r w:rsidR="006577B4">
        <w:rPr>
          <w:rFonts w:ascii="Times New Roman" w:hAnsi="Times New Roman" w:cs="Times New Roman"/>
          <w:b/>
          <w:sz w:val="24"/>
          <w:szCs w:val="24"/>
        </w:rPr>
        <w:t>ы</w:t>
      </w:r>
    </w:p>
    <w:p w:rsidR="00E025DB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473">
        <w:rPr>
          <w:rFonts w:ascii="Times New Roman" w:hAnsi="Times New Roman" w:cs="Times New Roman"/>
          <w:b/>
          <w:sz w:val="24"/>
          <w:szCs w:val="24"/>
        </w:rPr>
        <w:t>ООО «Газпром энерго»</w:t>
      </w:r>
      <w:r w:rsidR="00330663" w:rsidRPr="001F1473">
        <w:rPr>
          <w:rFonts w:ascii="Times New Roman" w:hAnsi="Times New Roman" w:cs="Times New Roman"/>
          <w:b/>
          <w:sz w:val="24"/>
          <w:szCs w:val="24"/>
        </w:rPr>
        <w:t xml:space="preserve"> в лице Центрального филиала</w:t>
      </w:r>
      <w:r w:rsidR="006577B4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E025DB" w:rsidRDefault="006577B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утвержденной распоряжением Правительства Тульской области от 04.10.2021 № 504-р (ред. от </w:t>
      </w:r>
      <w:r w:rsidR="00D64E18">
        <w:rPr>
          <w:rFonts w:ascii="Times New Roman" w:hAnsi="Times New Roman" w:cs="Times New Roman"/>
          <w:b/>
          <w:sz w:val="24"/>
          <w:szCs w:val="24"/>
        </w:rPr>
        <w:t>10.08.2023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64E18">
        <w:rPr>
          <w:rFonts w:ascii="Times New Roman" w:hAnsi="Times New Roman" w:cs="Times New Roman"/>
          <w:b/>
          <w:sz w:val="24"/>
          <w:szCs w:val="24"/>
        </w:rPr>
        <w:t>443</w:t>
      </w:r>
      <w:r>
        <w:rPr>
          <w:rFonts w:ascii="Times New Roman" w:hAnsi="Times New Roman" w:cs="Times New Roman"/>
          <w:b/>
          <w:sz w:val="24"/>
          <w:szCs w:val="24"/>
        </w:rPr>
        <w:t xml:space="preserve">-р) </w:t>
      </w:r>
    </w:p>
    <w:p w:rsidR="000C2673" w:rsidRPr="001F1473" w:rsidRDefault="006577B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</w:t>
      </w:r>
      <w:r w:rsidR="0089238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892383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473" w:rsidRDefault="001F14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3D" w:rsidRPr="001F1473" w:rsidRDefault="002B773D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997" w:rsidRPr="00F47CDC" w:rsidRDefault="00A86997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Серпухов</w:t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1777070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E76D5" w:rsidRPr="001F1473" w:rsidRDefault="008E76D5" w:rsidP="005F3684">
          <w:pPr>
            <w:pStyle w:val="ae"/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1F1473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:rsidR="00EC2918" w:rsidRDefault="008E76D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1F1473">
            <w:fldChar w:fldCharType="begin"/>
          </w:r>
          <w:r w:rsidRPr="001F1473">
            <w:instrText xml:space="preserve"> TOC \o "1-3" \h \z \u </w:instrText>
          </w:r>
          <w:r w:rsidRPr="001F1473">
            <w:fldChar w:fldCharType="separate"/>
          </w:r>
          <w:hyperlink w:anchor="_Toc169622474" w:history="1">
            <w:r w:rsidR="00EC2918" w:rsidRPr="00E3745B">
              <w:rPr>
                <w:rStyle w:val="a6"/>
                <w:noProof/>
              </w:rPr>
              <w:t>Введение</w:t>
            </w:r>
            <w:r w:rsidR="00EC2918">
              <w:rPr>
                <w:noProof/>
                <w:webHidden/>
              </w:rPr>
              <w:tab/>
            </w:r>
            <w:r w:rsidR="00EC2918">
              <w:rPr>
                <w:noProof/>
                <w:webHidden/>
              </w:rPr>
              <w:fldChar w:fldCharType="begin"/>
            </w:r>
            <w:r w:rsidR="00EC2918">
              <w:rPr>
                <w:noProof/>
                <w:webHidden/>
              </w:rPr>
              <w:instrText xml:space="preserve"> PAGEREF _Toc169622474 \h </w:instrText>
            </w:r>
            <w:r w:rsidR="00EC2918">
              <w:rPr>
                <w:noProof/>
                <w:webHidden/>
              </w:rPr>
            </w:r>
            <w:r w:rsidR="00EC2918">
              <w:rPr>
                <w:noProof/>
                <w:webHidden/>
              </w:rPr>
              <w:fldChar w:fldCharType="separate"/>
            </w:r>
            <w:r w:rsidR="00EC2918">
              <w:rPr>
                <w:noProof/>
                <w:webHidden/>
              </w:rPr>
              <w:t>2</w:t>
            </w:r>
            <w:r w:rsidR="00EC2918">
              <w:rPr>
                <w:noProof/>
                <w:webHidden/>
              </w:rPr>
              <w:fldChar w:fldCharType="end"/>
            </w:r>
          </w:hyperlink>
        </w:p>
        <w:p w:rsidR="00EC2918" w:rsidRDefault="00EC291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9622475" w:history="1">
            <w:r w:rsidRPr="00E3745B">
              <w:rPr>
                <w:rStyle w:val="a6"/>
                <w:b/>
                <w:bCs/>
                <w:noProof/>
                <w:kern w:val="36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3745B">
              <w:rPr>
                <w:rStyle w:val="a6"/>
                <w:b/>
                <w:bCs/>
                <w:noProof/>
                <w:kern w:val="36"/>
              </w:rPr>
              <w:t>Обоснование реализации мероприятия по инвестиционной программе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_Toc169622475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2918" w:rsidRDefault="00EC2918">
          <w:pPr>
            <w:pStyle w:val="2"/>
            <w:rPr>
              <w:rFonts w:eastAsiaTheme="minorEastAsia"/>
              <w:noProof/>
              <w:lang w:eastAsia="ru-RU"/>
            </w:rPr>
          </w:pPr>
          <w:hyperlink w:anchor="_Toc169622476" w:history="1">
            <w:r w:rsidRPr="00E3745B">
              <w:rPr>
                <w:rStyle w:val="a6"/>
                <w:rFonts w:ascii="Times New Roman" w:hAnsi="Times New Roman" w:cs="Times New Roman"/>
                <w:b/>
                <w:noProof/>
              </w:rPr>
              <w:t>1.1.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E3745B">
              <w:rPr>
                <w:rStyle w:val="a6"/>
                <w:rFonts w:ascii="Times New Roman" w:hAnsi="Times New Roman" w:cs="Times New Roman"/>
                <w:b/>
                <w:noProof/>
              </w:rPr>
              <w:t>Реализация мероприятия «Интеллектуальная система учета электроэнергии в Тульской области»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_Toc169622476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2918" w:rsidRDefault="00EC2918">
          <w:pPr>
            <w:pStyle w:val="2"/>
            <w:rPr>
              <w:rFonts w:eastAsiaTheme="minorEastAsia"/>
              <w:noProof/>
              <w:lang w:eastAsia="ru-RU"/>
            </w:rPr>
          </w:pPr>
          <w:hyperlink w:anchor="_Toc169622477" w:history="1">
            <w:r w:rsidRPr="00E3745B">
              <w:rPr>
                <w:rStyle w:val="a6"/>
                <w:rFonts w:ascii="Times New Roman" w:hAnsi="Times New Roman" w:cs="Times New Roman"/>
                <w:b/>
                <w:noProof/>
              </w:rPr>
              <w:t>1.2.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E3745B">
              <w:rPr>
                <w:rStyle w:val="a6"/>
                <w:rFonts w:ascii="Times New Roman" w:hAnsi="Times New Roman" w:cs="Times New Roman"/>
                <w:b/>
                <w:noProof/>
              </w:rPr>
              <w:t>Реализация мероприятия «Приобретение специализированного грузового автотранспорта»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_Toc169622477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2918" w:rsidRDefault="00EC2918">
          <w:pPr>
            <w:pStyle w:val="2"/>
            <w:rPr>
              <w:rFonts w:eastAsiaTheme="minorEastAsia"/>
              <w:noProof/>
              <w:lang w:eastAsia="ru-RU"/>
            </w:rPr>
          </w:pPr>
          <w:hyperlink w:anchor="_Toc169622478" w:history="1">
            <w:r w:rsidRPr="00E3745B">
              <w:rPr>
                <w:rStyle w:val="a6"/>
                <w:rFonts w:ascii="Times New Roman" w:hAnsi="Times New Roman" w:cs="Times New Roman"/>
                <w:b/>
                <w:noProof/>
              </w:rPr>
              <w:t>1.3.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E3745B">
              <w:rPr>
                <w:rStyle w:val="a6"/>
                <w:rFonts w:ascii="Times New Roman" w:hAnsi="Times New Roman" w:cs="Times New Roman"/>
                <w:b/>
                <w:noProof/>
              </w:rPr>
              <w:t>Реализация мероприятия «Покупка генератора поискового ГП-500К (с кейсом) Ангстрем 1 шт.»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_Toc169622478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2918" w:rsidRDefault="00EC2918">
          <w:pPr>
            <w:pStyle w:val="2"/>
            <w:rPr>
              <w:rFonts w:eastAsiaTheme="minorEastAsia"/>
              <w:noProof/>
              <w:lang w:eastAsia="ru-RU"/>
            </w:rPr>
          </w:pPr>
          <w:hyperlink w:anchor="_Toc169622479" w:history="1">
            <w:r w:rsidRPr="00E3745B">
              <w:rPr>
                <w:rStyle w:val="a6"/>
                <w:rFonts w:ascii="Times New Roman" w:hAnsi="Times New Roman" w:cs="Times New Roman"/>
                <w:b/>
                <w:noProof/>
              </w:rPr>
              <w:t>1.4.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E3745B">
              <w:rPr>
                <w:rStyle w:val="a6"/>
                <w:rFonts w:ascii="Times New Roman" w:hAnsi="Times New Roman" w:cs="Times New Roman"/>
                <w:b/>
                <w:noProof/>
              </w:rPr>
              <w:t>Реализация мероприятия «Покупка мотобуксировщика Sharmax S500 1450 HP20 Enduro с дополнительным оборудованием 2 шт.»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_Toc169622479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2918" w:rsidRDefault="00EC291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9622480" w:history="1">
            <w:r w:rsidRPr="00E3745B">
              <w:rPr>
                <w:rStyle w:val="a6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3745B">
              <w:rPr>
                <w:rStyle w:val="a6"/>
                <w:b/>
                <w:noProof/>
              </w:rPr>
              <w:t xml:space="preserve">Порядок расчета количественных показателей инвестиционной программы </w:t>
            </w:r>
            <w:bookmarkStart w:id="0" w:name="_GoBack"/>
            <w:bookmarkEnd w:id="0"/>
            <w:r w:rsidRPr="00E3745B">
              <w:rPr>
                <w:rStyle w:val="a6"/>
                <w:b/>
                <w:noProof/>
              </w:rPr>
              <w:t>(проекта инвестиционной программы)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_Toc169622480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2918" w:rsidRDefault="00EC291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9622481" w:history="1">
            <w:r w:rsidRPr="00E3745B">
              <w:rPr>
                <w:rStyle w:val="a6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3745B">
              <w:rPr>
                <w:rStyle w:val="a6"/>
                <w:b/>
                <w:noProof/>
              </w:rPr>
              <w:t>Информация, указанная в абзацах 12-18 стандартов раскрытия информации субъектами оптового и розничных рынков электрической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_Toc169622481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2918" w:rsidRDefault="00EC291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9622482" w:history="1">
            <w:r w:rsidRPr="00E3745B">
              <w:rPr>
                <w:rStyle w:val="a6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3745B">
              <w:rPr>
                <w:rStyle w:val="a6"/>
                <w:b/>
                <w:noProof/>
              </w:rPr>
              <w:t>Заключение о целях и результатах выполнения инвестиционных проектов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_Toc169622482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2918" w:rsidRDefault="00EC291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9622483" w:history="1">
            <w:r w:rsidRPr="00E3745B">
              <w:rPr>
                <w:rStyle w:val="a6"/>
                <w:rFonts w:eastAsiaTheme="minorHAnsi"/>
                <w:b/>
                <w:noProof/>
                <w:lang w:eastAsia="en-US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3745B">
              <w:rPr>
                <w:rStyle w:val="a6"/>
                <w:rFonts w:eastAsiaTheme="minorHAnsi"/>
                <w:b/>
                <w:noProof/>
                <w:lang w:eastAsia="en-US"/>
              </w:rPr>
              <w:t>Причины направления корректировки инвестиционной программы, утвержденной Распоряжением Правительства Тульской области №504-р от 04.10.2021 (ред. от 10.08.2023 №443-р)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_Toc169622483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2918" w:rsidRDefault="00EC291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9622484" w:history="1">
            <w:r w:rsidRPr="00E3745B">
              <w:rPr>
                <w:rStyle w:val="a6"/>
                <w:rFonts w:eastAsiaTheme="minorHAnsi"/>
                <w:b/>
                <w:noProof/>
                <w:lang w:eastAsia="en-US"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3745B">
              <w:rPr>
                <w:rStyle w:val="a6"/>
                <w:rFonts w:eastAsiaTheme="minorHAnsi"/>
                <w:b/>
                <w:noProof/>
                <w:lang w:eastAsia="en-US"/>
              </w:rPr>
              <w:t>Контроль за реализацией инвестиционной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_Toc169622484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2918" w:rsidRDefault="00EC291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9622485" w:history="1">
            <w:r w:rsidRPr="00E3745B">
              <w:rPr>
                <w:rStyle w:val="a6"/>
                <w:rFonts w:eastAsiaTheme="minorHAnsi"/>
                <w:b/>
                <w:noProof/>
                <w:lang w:eastAsia="en-US"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_Toc169622485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76D5" w:rsidRPr="001F1473" w:rsidRDefault="008E76D5" w:rsidP="005F3684">
          <w:pPr>
            <w:spacing w:line="240" w:lineRule="auto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1F1473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73" w:rsidRPr="001F1473" w:rsidRDefault="000C2673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684" w:rsidRPr="001F1473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12BC" w:rsidRPr="001F1473" w:rsidRDefault="006A12BC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655" w:rsidRPr="001F1473" w:rsidRDefault="00113655" w:rsidP="005F3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894" w:rsidRDefault="004B6894" w:rsidP="00A72E7F">
      <w:pPr>
        <w:pStyle w:val="1"/>
        <w:jc w:val="center"/>
        <w:rPr>
          <w:sz w:val="24"/>
          <w:szCs w:val="24"/>
        </w:rPr>
      </w:pPr>
    </w:p>
    <w:p w:rsidR="000C2673" w:rsidRPr="001F1473" w:rsidRDefault="00AA3B92" w:rsidP="00A72E7F">
      <w:pPr>
        <w:pStyle w:val="1"/>
        <w:jc w:val="center"/>
        <w:rPr>
          <w:b w:val="0"/>
          <w:sz w:val="24"/>
          <w:szCs w:val="24"/>
        </w:rPr>
      </w:pPr>
      <w:bookmarkStart w:id="1" w:name="_Toc169622474"/>
      <w:r>
        <w:rPr>
          <w:sz w:val="24"/>
          <w:szCs w:val="24"/>
        </w:rPr>
        <w:lastRenderedPageBreak/>
        <w:t>В</w:t>
      </w:r>
      <w:r w:rsidR="000C2673" w:rsidRPr="001F1473">
        <w:rPr>
          <w:sz w:val="24"/>
          <w:szCs w:val="24"/>
        </w:rPr>
        <w:t>ведение</w:t>
      </w:r>
      <w:bookmarkEnd w:id="1"/>
    </w:p>
    <w:p w:rsidR="00BC7B93" w:rsidRPr="00A71136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ООО «Газпром энерго» - специализированная энергетическая дочерняя компания ПАО «Газпром» - осуществляет свою деятельность в 46 субъектах Российской Федерации.</w:t>
      </w:r>
    </w:p>
    <w:p w:rsidR="00BC7B93" w:rsidRPr="00A71136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В соответствии со «Стратегией ПАО «Газпром» в электроэнергетике», принятой на 2018-2027 годы, ООО «Газпром энерго» является единой электросетевой компанией, обеспечивающей передачу электрической энергии (мощности).</w:t>
      </w:r>
    </w:p>
    <w:p w:rsidR="00BC7B93" w:rsidRPr="00A71136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Одним из основных видов деятельности ООО «Газпром энерго» на территории </w:t>
      </w:r>
      <w:r w:rsidR="00B71006" w:rsidRPr="00A71136">
        <w:rPr>
          <w:rFonts w:ascii="Times New Roman" w:hAnsi="Times New Roman" w:cs="Times New Roman"/>
          <w:sz w:val="24"/>
          <w:szCs w:val="24"/>
        </w:rPr>
        <w:t>Тульской области</w:t>
      </w:r>
      <w:r w:rsidRPr="00A71136">
        <w:rPr>
          <w:rFonts w:ascii="Times New Roman" w:hAnsi="Times New Roman" w:cs="Times New Roman"/>
          <w:sz w:val="24"/>
          <w:szCs w:val="24"/>
        </w:rPr>
        <w:t xml:space="preserve"> являются услуги по передаче и распределению электрической энергии (мощности), технологическое присоединение (подключение) к электросетям, обеспечение работоспособности сетей (монтаж, ремонт и техническое обслуживание распределительных линий электропередачи и электротехнического оборудования). Услуга по передаче и распределению электрической энергии является регулируем</w:t>
      </w:r>
      <w:r w:rsidR="00AB1EE5">
        <w:rPr>
          <w:rFonts w:ascii="Times New Roman" w:hAnsi="Times New Roman" w:cs="Times New Roman"/>
          <w:sz w:val="24"/>
          <w:szCs w:val="24"/>
        </w:rPr>
        <w:t>ой</w:t>
      </w:r>
      <w:r w:rsidRPr="00A71136">
        <w:rPr>
          <w:rFonts w:ascii="Times New Roman" w:hAnsi="Times New Roman" w:cs="Times New Roman"/>
          <w:sz w:val="24"/>
          <w:szCs w:val="24"/>
        </w:rPr>
        <w:t xml:space="preserve"> государством, поэтому основные параметры функционирования предприятия на год, в том числе и экономическая составляющая, определяются органом Государственного регулирования.  </w:t>
      </w:r>
    </w:p>
    <w:p w:rsidR="00BC7B93" w:rsidRPr="00A71136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Состав объектов энергоснабжения, находящихся в эксплуатации     </w:t>
      </w:r>
      <w:r w:rsidR="004A197A" w:rsidRPr="00A7113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33A29" w:rsidRPr="00A7113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71136">
        <w:rPr>
          <w:rFonts w:ascii="Times New Roman" w:hAnsi="Times New Roman" w:cs="Times New Roman"/>
          <w:sz w:val="24"/>
          <w:szCs w:val="24"/>
        </w:rPr>
        <w:t>ООО «Газпром энерго» по Тульской области, следующий:</w:t>
      </w:r>
    </w:p>
    <w:p w:rsidR="00BC7B93" w:rsidRPr="00A71136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Тульская область,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Ефремовский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район: ТП Котельная (инв. №0050304), ЗРУ-6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(инв. №0050300), ОРУ-110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КС-8 (инв. №0050409), ТП 6/10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КС-1 (инв. №107123), ТП СН (инв. №0050408), </w:t>
      </w:r>
      <w:r w:rsidR="00AB1EE5">
        <w:rPr>
          <w:rFonts w:ascii="Times New Roman" w:hAnsi="Times New Roman" w:cs="Times New Roman"/>
          <w:sz w:val="24"/>
          <w:szCs w:val="24"/>
        </w:rPr>
        <w:t>в</w:t>
      </w:r>
      <w:r w:rsidRPr="00A71136">
        <w:rPr>
          <w:rFonts w:ascii="Times New Roman" w:hAnsi="Times New Roman" w:cs="Times New Roman"/>
          <w:sz w:val="24"/>
          <w:szCs w:val="24"/>
        </w:rPr>
        <w:t xml:space="preserve">нешнее электроснабжение КС-1 на компрессорной станции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Пожилинского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сельского округа (инв. 0106653);</w:t>
      </w:r>
    </w:p>
    <w:p w:rsidR="00BC7B93" w:rsidRPr="00A71136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Тульская область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Ефремовский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район и д.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Чернятино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: ЦРП-10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(инв. 0020725), ТП - 0,4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в здании старой котельной (инв. 0020705), ТП - 0,4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в здании производственного корпуса (инв. 0020689), линии электропередачи (инв. 20765);</w:t>
      </w:r>
    </w:p>
    <w:p w:rsidR="00BC7B93" w:rsidRPr="00A71136" w:rsidRDefault="00BC7B93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Тульская область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Щекинский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район, с. Пришня и п. Первомайский: КТП ФОК (инв. 48316), КТП Школа (инв. 0048354), ОРУ/ЗРУ 110/10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компрессорной станции КС-2 "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Щекинская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" (инв. 107242, 106278), ОРУ/ЗРУ 110/6 </w:t>
      </w:r>
      <w:proofErr w:type="spellStart"/>
      <w:r w:rsidR="00AB1EE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AB1EE5">
        <w:rPr>
          <w:rFonts w:ascii="Times New Roman" w:hAnsi="Times New Roman" w:cs="Times New Roman"/>
          <w:sz w:val="24"/>
          <w:szCs w:val="24"/>
        </w:rPr>
        <w:t xml:space="preserve"> КС-9 (инв. 48222, 0048211), л</w:t>
      </w:r>
      <w:r w:rsidRPr="00A71136">
        <w:rPr>
          <w:rFonts w:ascii="Times New Roman" w:hAnsi="Times New Roman" w:cs="Times New Roman"/>
          <w:sz w:val="24"/>
          <w:szCs w:val="24"/>
        </w:rPr>
        <w:t>иния электропередач для жилых домов с. Пришня (инв. 0048276), высоковольтная линия 6кВ с переводом на 10кВ (инв. 0048353), внешние сети электросна</w:t>
      </w:r>
      <w:r w:rsidR="00AB1EE5">
        <w:rPr>
          <w:rFonts w:ascii="Times New Roman" w:hAnsi="Times New Roman" w:cs="Times New Roman"/>
          <w:sz w:val="24"/>
          <w:szCs w:val="24"/>
        </w:rPr>
        <w:t>бжения к школе (инв. 0049085), н</w:t>
      </w:r>
      <w:r w:rsidRPr="00A71136">
        <w:rPr>
          <w:rFonts w:ascii="Times New Roman" w:hAnsi="Times New Roman" w:cs="Times New Roman"/>
          <w:sz w:val="24"/>
          <w:szCs w:val="24"/>
        </w:rPr>
        <w:t xml:space="preserve">аружные сети электроснабжения из двух ЛЭП-10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и КЛ-04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AB1EE5">
        <w:rPr>
          <w:rFonts w:ascii="Times New Roman" w:hAnsi="Times New Roman" w:cs="Times New Roman"/>
          <w:sz w:val="24"/>
          <w:szCs w:val="24"/>
        </w:rPr>
        <w:t xml:space="preserve"> длиной 215 м (инв. 00015600), э</w:t>
      </w:r>
      <w:r w:rsidRPr="00A71136">
        <w:rPr>
          <w:rFonts w:ascii="Times New Roman" w:hAnsi="Times New Roman" w:cs="Times New Roman"/>
          <w:sz w:val="24"/>
          <w:szCs w:val="24"/>
        </w:rPr>
        <w:t xml:space="preserve">лектроснабжение внешнее (кабельные линии электропередачи к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Новомосковской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автомобильной газонаполнительной станции (инв. 00015</w:t>
      </w:r>
      <w:r w:rsidR="00AB1EE5">
        <w:rPr>
          <w:rFonts w:ascii="Times New Roman" w:hAnsi="Times New Roman" w:cs="Times New Roman"/>
          <w:sz w:val="24"/>
          <w:szCs w:val="24"/>
        </w:rPr>
        <w:t>180), э</w:t>
      </w:r>
      <w:r w:rsidRPr="00A71136">
        <w:rPr>
          <w:rFonts w:ascii="Times New Roman" w:hAnsi="Times New Roman" w:cs="Times New Roman"/>
          <w:sz w:val="24"/>
          <w:szCs w:val="24"/>
        </w:rPr>
        <w:t xml:space="preserve">лектроснабжение внешнее (кабельные линии электропередачи к Тульской автомобильной газонаполнительной станции (инв. 00016004), ЛЭП-0,4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с.</w:t>
      </w:r>
      <w:r w:rsidR="00AB1EE5">
        <w:rPr>
          <w:rFonts w:ascii="Times New Roman" w:hAnsi="Times New Roman" w:cs="Times New Roman"/>
          <w:sz w:val="24"/>
          <w:szCs w:val="24"/>
        </w:rPr>
        <w:t xml:space="preserve"> Пришня (</w:t>
      </w:r>
      <w:proofErr w:type="spellStart"/>
      <w:r w:rsidR="00AB1EE5">
        <w:rPr>
          <w:rFonts w:ascii="Times New Roman" w:hAnsi="Times New Roman" w:cs="Times New Roman"/>
          <w:sz w:val="24"/>
          <w:szCs w:val="24"/>
        </w:rPr>
        <w:t>инв.номер</w:t>
      </w:r>
      <w:proofErr w:type="spellEnd"/>
      <w:r w:rsidR="00AB1EE5">
        <w:rPr>
          <w:rFonts w:ascii="Times New Roman" w:hAnsi="Times New Roman" w:cs="Times New Roman"/>
          <w:sz w:val="24"/>
          <w:szCs w:val="24"/>
        </w:rPr>
        <w:t>: 00017122), к</w:t>
      </w:r>
      <w:r w:rsidRPr="00A71136">
        <w:rPr>
          <w:rFonts w:ascii="Times New Roman" w:hAnsi="Times New Roman" w:cs="Times New Roman"/>
          <w:sz w:val="24"/>
          <w:szCs w:val="24"/>
        </w:rPr>
        <w:t xml:space="preserve">абельная линия 6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протяж</w:t>
      </w:r>
      <w:r w:rsidR="00AB1EE5">
        <w:rPr>
          <w:rFonts w:ascii="Times New Roman" w:hAnsi="Times New Roman" w:cs="Times New Roman"/>
          <w:sz w:val="24"/>
          <w:szCs w:val="24"/>
        </w:rPr>
        <w:t>енность 700 м (инв. 00017252), к</w:t>
      </w:r>
      <w:r w:rsidRPr="00A71136">
        <w:rPr>
          <w:rFonts w:ascii="Times New Roman" w:hAnsi="Times New Roman" w:cs="Times New Roman"/>
          <w:sz w:val="24"/>
          <w:szCs w:val="24"/>
        </w:rPr>
        <w:t xml:space="preserve">омплектная трансформаторная подстанция 160/6/0,4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(инв. 00017253) и др.</w:t>
      </w:r>
    </w:p>
    <w:p w:rsidR="00BC7B93" w:rsidRPr="00A71136" w:rsidRDefault="00BC7B93" w:rsidP="005F3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ab/>
      </w:r>
      <w:r w:rsidR="00AB1EE5" w:rsidRPr="001F1473">
        <w:rPr>
          <w:rFonts w:ascii="Times New Roman" w:hAnsi="Times New Roman" w:cs="Times New Roman"/>
          <w:sz w:val="24"/>
          <w:szCs w:val="24"/>
        </w:rPr>
        <w:t>Потребителями электроэнергии Тульской области явл</w:t>
      </w:r>
      <w:r w:rsidR="00AB1EE5">
        <w:rPr>
          <w:rFonts w:ascii="Times New Roman" w:hAnsi="Times New Roman" w:cs="Times New Roman"/>
          <w:sz w:val="24"/>
          <w:szCs w:val="24"/>
        </w:rPr>
        <w:t xml:space="preserve">яются объекты </w:t>
      </w:r>
      <w:r w:rsidR="00AB1EE5">
        <w:rPr>
          <w:rFonts w:ascii="Times New Roman" w:hAnsi="Times New Roman" w:cs="Times New Roman"/>
          <w:sz w:val="24"/>
          <w:szCs w:val="24"/>
        </w:rPr>
        <w:br/>
        <w:t>филиала ПАО «</w:t>
      </w:r>
      <w:proofErr w:type="spellStart"/>
      <w:r w:rsidR="00AB1EE5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AB1EE5">
        <w:rPr>
          <w:rFonts w:ascii="Times New Roman" w:hAnsi="Times New Roman" w:cs="Times New Roman"/>
          <w:sz w:val="24"/>
          <w:szCs w:val="24"/>
        </w:rPr>
        <w:t xml:space="preserve"> Центр и Приволжье» - «Тулэнерго», ф</w:t>
      </w:r>
      <w:r w:rsidR="00AB1EE5" w:rsidRPr="001F1473">
        <w:rPr>
          <w:rFonts w:ascii="Times New Roman" w:hAnsi="Times New Roman" w:cs="Times New Roman"/>
          <w:sz w:val="24"/>
          <w:szCs w:val="24"/>
        </w:rPr>
        <w:t>илиал</w:t>
      </w:r>
      <w:r w:rsidR="00AB1EE5">
        <w:rPr>
          <w:rFonts w:ascii="Times New Roman" w:hAnsi="Times New Roman" w:cs="Times New Roman"/>
          <w:sz w:val="24"/>
          <w:szCs w:val="24"/>
        </w:rPr>
        <w:t>а</w:t>
      </w:r>
      <w:r w:rsidR="00AB1EE5" w:rsidRPr="001F1473">
        <w:rPr>
          <w:rFonts w:ascii="Times New Roman" w:hAnsi="Times New Roman" w:cs="Times New Roman"/>
          <w:sz w:val="24"/>
          <w:szCs w:val="24"/>
        </w:rPr>
        <w:t xml:space="preserve"> ООО "Газпром </w:t>
      </w:r>
      <w:proofErr w:type="spellStart"/>
      <w:r w:rsidR="00AB1EE5" w:rsidRPr="001F1473">
        <w:rPr>
          <w:rFonts w:ascii="Times New Roman" w:hAnsi="Times New Roman" w:cs="Times New Roman"/>
          <w:sz w:val="24"/>
          <w:szCs w:val="24"/>
        </w:rPr>
        <w:t>трансга</w:t>
      </w:r>
      <w:r w:rsidR="00AB1EE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AB1EE5">
        <w:rPr>
          <w:rFonts w:ascii="Times New Roman" w:hAnsi="Times New Roman" w:cs="Times New Roman"/>
          <w:sz w:val="24"/>
          <w:szCs w:val="24"/>
        </w:rPr>
        <w:t xml:space="preserve"> Москва" Тульское ЛПУМГ (объекты в </w:t>
      </w:r>
      <w:proofErr w:type="spellStart"/>
      <w:r w:rsidR="00AB1EE5">
        <w:rPr>
          <w:rFonts w:ascii="Times New Roman" w:hAnsi="Times New Roman" w:cs="Times New Roman"/>
          <w:sz w:val="24"/>
          <w:szCs w:val="24"/>
        </w:rPr>
        <w:t>Щекинском</w:t>
      </w:r>
      <w:proofErr w:type="spellEnd"/>
      <w:r w:rsidR="00AB1E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B1EE5">
        <w:rPr>
          <w:rFonts w:ascii="Times New Roman" w:hAnsi="Times New Roman" w:cs="Times New Roman"/>
          <w:sz w:val="24"/>
          <w:szCs w:val="24"/>
        </w:rPr>
        <w:t>Ефремовском</w:t>
      </w:r>
      <w:proofErr w:type="spellEnd"/>
      <w:r w:rsidR="00AB1EE5">
        <w:rPr>
          <w:rFonts w:ascii="Times New Roman" w:hAnsi="Times New Roman" w:cs="Times New Roman"/>
          <w:sz w:val="24"/>
          <w:szCs w:val="24"/>
        </w:rPr>
        <w:t xml:space="preserve"> и Первомайском районах), ф</w:t>
      </w:r>
      <w:r w:rsidR="00AB1EE5" w:rsidRPr="001F1473">
        <w:rPr>
          <w:rFonts w:ascii="Times New Roman" w:hAnsi="Times New Roman" w:cs="Times New Roman"/>
          <w:sz w:val="24"/>
          <w:szCs w:val="24"/>
        </w:rPr>
        <w:t>илиал</w:t>
      </w:r>
      <w:r w:rsidR="00AB1EE5">
        <w:rPr>
          <w:rFonts w:ascii="Times New Roman" w:hAnsi="Times New Roman" w:cs="Times New Roman"/>
          <w:sz w:val="24"/>
          <w:szCs w:val="24"/>
        </w:rPr>
        <w:t>а</w:t>
      </w:r>
      <w:r w:rsidR="00AB1EE5" w:rsidRPr="001F1473">
        <w:rPr>
          <w:rFonts w:ascii="Times New Roman" w:hAnsi="Times New Roman" w:cs="Times New Roman"/>
          <w:sz w:val="24"/>
          <w:szCs w:val="24"/>
        </w:rPr>
        <w:t xml:space="preserve"> ООО "Га</w:t>
      </w:r>
      <w:r w:rsidR="00AB1EE5">
        <w:rPr>
          <w:rFonts w:ascii="Times New Roman" w:hAnsi="Times New Roman" w:cs="Times New Roman"/>
          <w:sz w:val="24"/>
          <w:szCs w:val="24"/>
        </w:rPr>
        <w:t xml:space="preserve">зпром </w:t>
      </w:r>
      <w:proofErr w:type="spellStart"/>
      <w:r w:rsidR="00AB1EE5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="00AB1EE5">
        <w:rPr>
          <w:rFonts w:ascii="Times New Roman" w:hAnsi="Times New Roman" w:cs="Times New Roman"/>
          <w:sz w:val="24"/>
          <w:szCs w:val="24"/>
        </w:rPr>
        <w:t xml:space="preserve"> Москва" </w:t>
      </w:r>
      <w:proofErr w:type="spellStart"/>
      <w:r w:rsidR="00AB1EE5">
        <w:rPr>
          <w:rFonts w:ascii="Times New Roman" w:hAnsi="Times New Roman" w:cs="Times New Roman"/>
          <w:sz w:val="24"/>
          <w:szCs w:val="24"/>
        </w:rPr>
        <w:t>УМТСиК</w:t>
      </w:r>
      <w:proofErr w:type="spellEnd"/>
      <w:r w:rsidR="00AB1EE5">
        <w:rPr>
          <w:rFonts w:ascii="Times New Roman" w:hAnsi="Times New Roman" w:cs="Times New Roman"/>
          <w:sz w:val="24"/>
          <w:szCs w:val="24"/>
        </w:rPr>
        <w:t xml:space="preserve">, </w:t>
      </w:r>
      <w:r w:rsidR="00AB1EE5" w:rsidRPr="001F1473">
        <w:rPr>
          <w:rFonts w:ascii="Times New Roman" w:hAnsi="Times New Roman" w:cs="Times New Roman"/>
          <w:sz w:val="24"/>
          <w:szCs w:val="24"/>
        </w:rPr>
        <w:t>предприятия (ЗАО "</w:t>
      </w:r>
      <w:proofErr w:type="spellStart"/>
      <w:r w:rsidR="00AB1EE5" w:rsidRPr="001F1473">
        <w:rPr>
          <w:rFonts w:ascii="Times New Roman" w:hAnsi="Times New Roman" w:cs="Times New Roman"/>
          <w:sz w:val="24"/>
          <w:szCs w:val="24"/>
        </w:rPr>
        <w:t>Норси</w:t>
      </w:r>
      <w:proofErr w:type="spellEnd"/>
      <w:r w:rsidR="00AB1EE5" w:rsidRPr="001F1473">
        <w:rPr>
          <w:rFonts w:ascii="Times New Roman" w:hAnsi="Times New Roman" w:cs="Times New Roman"/>
          <w:sz w:val="24"/>
          <w:szCs w:val="24"/>
        </w:rPr>
        <w:t xml:space="preserve"> транс", ОАО "</w:t>
      </w:r>
      <w:r w:rsidR="00AB1EE5">
        <w:rPr>
          <w:rFonts w:ascii="Times New Roman" w:hAnsi="Times New Roman" w:cs="Times New Roman"/>
          <w:sz w:val="24"/>
          <w:szCs w:val="24"/>
        </w:rPr>
        <w:t>ЩГЭС</w:t>
      </w:r>
      <w:r w:rsidR="00AB1EE5" w:rsidRPr="001F1473">
        <w:rPr>
          <w:rFonts w:ascii="Times New Roman" w:hAnsi="Times New Roman" w:cs="Times New Roman"/>
          <w:sz w:val="24"/>
          <w:szCs w:val="24"/>
        </w:rPr>
        <w:t>", ООО "</w:t>
      </w:r>
      <w:proofErr w:type="spellStart"/>
      <w:r w:rsidR="00AB1EE5" w:rsidRPr="001F1473">
        <w:rPr>
          <w:rFonts w:ascii="Times New Roman" w:hAnsi="Times New Roman" w:cs="Times New Roman"/>
          <w:sz w:val="24"/>
          <w:szCs w:val="24"/>
        </w:rPr>
        <w:t>ПАРКойл</w:t>
      </w:r>
      <w:proofErr w:type="spellEnd"/>
      <w:r w:rsidR="00AB1EE5" w:rsidRPr="001F1473">
        <w:rPr>
          <w:rFonts w:ascii="Times New Roman" w:hAnsi="Times New Roman" w:cs="Times New Roman"/>
          <w:sz w:val="24"/>
          <w:szCs w:val="24"/>
        </w:rPr>
        <w:t>-Тула", ООО "</w:t>
      </w:r>
      <w:proofErr w:type="spellStart"/>
      <w:r w:rsidR="00AB1EE5" w:rsidRPr="001F1473">
        <w:rPr>
          <w:rFonts w:ascii="Times New Roman" w:hAnsi="Times New Roman" w:cs="Times New Roman"/>
          <w:sz w:val="24"/>
          <w:szCs w:val="24"/>
        </w:rPr>
        <w:t>Солерс</w:t>
      </w:r>
      <w:proofErr w:type="spellEnd"/>
      <w:r w:rsidR="00AB1EE5" w:rsidRPr="001F1473">
        <w:rPr>
          <w:rFonts w:ascii="Times New Roman" w:hAnsi="Times New Roman" w:cs="Times New Roman"/>
          <w:sz w:val="24"/>
          <w:szCs w:val="24"/>
        </w:rPr>
        <w:t>", ООО "Шар", ОКБ "Минерал", ООО "</w:t>
      </w:r>
      <w:proofErr w:type="spellStart"/>
      <w:r w:rsidR="00AB1EE5" w:rsidRPr="001F1473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AB1EE5" w:rsidRPr="001F1473">
        <w:rPr>
          <w:rFonts w:ascii="Times New Roman" w:hAnsi="Times New Roman" w:cs="Times New Roman"/>
          <w:sz w:val="24"/>
          <w:szCs w:val="24"/>
        </w:rPr>
        <w:t xml:space="preserve"> Ферро"</w:t>
      </w:r>
      <w:r w:rsidR="00AB1EE5">
        <w:rPr>
          <w:rFonts w:ascii="Times New Roman" w:hAnsi="Times New Roman" w:cs="Times New Roman"/>
          <w:sz w:val="24"/>
          <w:szCs w:val="24"/>
        </w:rPr>
        <w:t xml:space="preserve"> </w:t>
      </w:r>
      <w:r w:rsidR="00AB1EE5" w:rsidRPr="001F1473">
        <w:rPr>
          <w:rFonts w:ascii="Times New Roman" w:hAnsi="Times New Roman" w:cs="Times New Roman"/>
          <w:sz w:val="24"/>
          <w:szCs w:val="24"/>
        </w:rPr>
        <w:t>и др.), а также население, школа, детский сад.</w:t>
      </w:r>
    </w:p>
    <w:p w:rsidR="00BC7B93" w:rsidRDefault="00BC7B93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6894" w:rsidRDefault="004B689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6894" w:rsidRDefault="004B689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Default="005F3684" w:rsidP="005F3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48AD" w:rsidRPr="00A71136" w:rsidRDefault="004648AD" w:rsidP="005F3684">
      <w:pPr>
        <w:pStyle w:val="a4"/>
        <w:numPr>
          <w:ilvl w:val="0"/>
          <w:numId w:val="10"/>
        </w:numPr>
        <w:tabs>
          <w:tab w:val="left" w:pos="31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2" w:name="_Toc169622475"/>
      <w:r w:rsidRPr="00A711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Обоснов</w:t>
      </w:r>
      <w:r w:rsidR="00D64E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ание реализации мероприятия по и</w:t>
      </w:r>
      <w:r w:rsidRPr="00A711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нвестиционной программе</w:t>
      </w:r>
      <w:bookmarkEnd w:id="2"/>
    </w:p>
    <w:p w:rsidR="004648AD" w:rsidRPr="00A71136" w:rsidRDefault="004648AD" w:rsidP="005F3684">
      <w:pPr>
        <w:tabs>
          <w:tab w:val="left" w:pos="316"/>
        </w:tabs>
        <w:spacing w:after="0" w:line="240" w:lineRule="auto"/>
        <w:ind w:left="33"/>
        <w:jc w:val="center"/>
        <w:rPr>
          <w:rFonts w:ascii="Times New Roman" w:hAnsi="Times New Roman" w:cs="Times New Roman"/>
          <w:sz w:val="24"/>
          <w:szCs w:val="24"/>
        </w:rPr>
      </w:pPr>
    </w:p>
    <w:p w:rsidR="003933A7" w:rsidRPr="00A71136" w:rsidRDefault="003933A7" w:rsidP="005F3684">
      <w:pPr>
        <w:pStyle w:val="a4"/>
        <w:numPr>
          <w:ilvl w:val="1"/>
          <w:numId w:val="10"/>
        </w:numPr>
        <w:tabs>
          <w:tab w:val="left" w:pos="316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" w:name="_Toc169622476"/>
      <w:r w:rsidRPr="00A71136">
        <w:rPr>
          <w:rFonts w:ascii="Times New Roman" w:hAnsi="Times New Roman" w:cs="Times New Roman"/>
          <w:b/>
          <w:sz w:val="24"/>
          <w:szCs w:val="24"/>
        </w:rPr>
        <w:t>Реализация мероприятия «Интеллектуальная система учета электроэнергии в Тульской области»</w:t>
      </w:r>
      <w:bookmarkEnd w:id="3"/>
    </w:p>
    <w:p w:rsidR="003933A7" w:rsidRPr="00A71136" w:rsidRDefault="003933A7" w:rsidP="005F3684">
      <w:pPr>
        <w:pStyle w:val="a4"/>
        <w:tabs>
          <w:tab w:val="left" w:pos="316"/>
        </w:tabs>
        <w:spacing w:after="0" w:line="240" w:lineRule="auto"/>
        <w:ind w:left="753"/>
        <w:outlineLvl w:val="1"/>
        <w:rPr>
          <w:rFonts w:ascii="Times New Roman" w:hAnsi="Times New Roman" w:cs="Times New Roman"/>
          <w:sz w:val="24"/>
          <w:szCs w:val="24"/>
        </w:rPr>
      </w:pPr>
    </w:p>
    <w:p w:rsidR="004648AD" w:rsidRPr="00A71136" w:rsidRDefault="004648AD" w:rsidP="005F3684">
      <w:pPr>
        <w:tabs>
          <w:tab w:val="left" w:pos="567"/>
        </w:tabs>
        <w:spacing w:after="0" w:line="240" w:lineRule="auto"/>
        <w:ind w:left="33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ab/>
      </w:r>
      <w:r w:rsidR="007E4E00" w:rsidRPr="00A71136">
        <w:rPr>
          <w:rFonts w:ascii="Times New Roman" w:hAnsi="Times New Roman" w:cs="Times New Roman"/>
          <w:sz w:val="24"/>
          <w:szCs w:val="24"/>
        </w:rPr>
        <w:t>Мероприятие инвестиционной программы ООО «Газпром энер</w:t>
      </w:r>
      <w:r w:rsidR="00221A87" w:rsidRPr="00A71136">
        <w:rPr>
          <w:rFonts w:ascii="Times New Roman" w:hAnsi="Times New Roman" w:cs="Times New Roman"/>
          <w:sz w:val="24"/>
          <w:szCs w:val="24"/>
        </w:rPr>
        <w:t>го» Центрального филиала включае</w:t>
      </w:r>
      <w:r w:rsidR="007E4E00" w:rsidRPr="00A71136">
        <w:rPr>
          <w:rFonts w:ascii="Times New Roman" w:hAnsi="Times New Roman" w:cs="Times New Roman"/>
          <w:sz w:val="24"/>
          <w:szCs w:val="24"/>
        </w:rPr>
        <w:t>т в себя мероприятие по созданию Интеллектуальной системы учета электроэнергии в Тульской области</w:t>
      </w:r>
      <w:r w:rsidRPr="00A71136">
        <w:rPr>
          <w:rFonts w:ascii="Times New Roman" w:hAnsi="Times New Roman" w:cs="Times New Roman"/>
          <w:sz w:val="24"/>
          <w:szCs w:val="24"/>
        </w:rPr>
        <w:t>.</w:t>
      </w:r>
    </w:p>
    <w:p w:rsidR="007E4E00" w:rsidRPr="00A71136" w:rsidRDefault="004648AD" w:rsidP="005F3684">
      <w:pPr>
        <w:tabs>
          <w:tab w:val="left" w:pos="567"/>
        </w:tabs>
        <w:spacing w:after="0" w:line="240" w:lineRule="auto"/>
        <w:ind w:left="33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ab/>
      </w:r>
      <w:r w:rsidR="007E4E00" w:rsidRPr="00A71136">
        <w:rPr>
          <w:rFonts w:ascii="Times New Roman" w:hAnsi="Times New Roman" w:cs="Times New Roman"/>
          <w:sz w:val="24"/>
          <w:szCs w:val="24"/>
        </w:rPr>
        <w:t xml:space="preserve">Согласно п. 5 ст. 37 Федерального закона от 26.03.2003 N 35-ФЗ «Об электроэнергетике» (далее- 35-ФЗ) в редакции Федерального закона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коммерческий учет электрической энергии (мощности) на розничных рынках и в целях оказания коммунальных услуг по электроснабжению обеспечивают гарантирующие поставщики и сетевые организации с применением приборов учета электрической энергии в соответствии с </w:t>
      </w:r>
      <w:hyperlink r:id="rId8" w:history="1">
        <w:r w:rsidR="007E4E00" w:rsidRPr="00A71136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7E4E00" w:rsidRPr="00A71136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 собственникам и пользователям помещений в многоквартирных домах и жилых домов, установленными в соответствии с жилищным законодательством, </w:t>
      </w:r>
      <w:hyperlink r:id="rId9" w:history="1">
        <w:r w:rsidR="007E4E00" w:rsidRPr="00A71136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7E4E00" w:rsidRPr="00A71136">
        <w:rPr>
          <w:rFonts w:ascii="Times New Roman" w:hAnsi="Times New Roman" w:cs="Times New Roman"/>
          <w:sz w:val="24"/>
          <w:szCs w:val="24"/>
        </w:rPr>
        <w:t xml:space="preserve"> организации учета электрической энергии на розничных рынках, в том числе посредством интеллектуальных систем учета электрической энергии (мощности).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Сетевые организации в ходе обеспечения коммерческого учета электрической энергии (мощности) на розничных рынках и для оказания коммунальных услуг по электроснабжению обязаны 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и последующую их эксплуатацию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 (мощности), приобретающих электрическую энергию на розничных рынках, объектов по производству электрической энергии (мощности) на розничных рынках и объектов электросетевого хозяйства, принадлежащих сетевым организациям и иным лицам, при отсутствии, выходе из 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сетевой организации, а также при технологическом присоединении таких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устройств, объектов по производству электрической энергии (мощности) и объектов электросетевого хозяйства, принадлежащих сетевым организациям и иным лицам, к объектам электросетевого хозяйства сетевой организации, за исключением коллективных (общедомовых) приборов учета электрической энергии. 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По всем приборам учета электрической энергии, допускаемым (вводимым) в эксплуатацию с 1 января 2022 г. для целей коммерческого учета электрической энергии на розничных рынках электрической энергии и (или) предоставления коммунальных услуг по электроснабжению в соответствии с требованиями Федерального закона "Об электроэнергетике", сетевая организация и (или) гарантирующий поставщик (далее - владельцы интеллектуальных систем учета) обеспечивают безвозмездное предоставление возможности использования функций интеллектуальной системы учета в порядке, установленном настоящими Правилами, субъектам электроэнергетики и потребителям электрической энергии, в отношении которых они обеспечивают коммерческий учет электрической энергии (далее - пользователь интеллектуальной системы учета)</w:t>
      </w:r>
      <w:r w:rsidR="00282A48" w:rsidRPr="00A71136">
        <w:rPr>
          <w:rFonts w:ascii="Times New Roman" w:hAnsi="Times New Roman" w:cs="Times New Roman"/>
          <w:sz w:val="24"/>
          <w:szCs w:val="24"/>
        </w:rPr>
        <w:t>.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lastRenderedPageBreak/>
        <w:t>Пользователями интеллектуальных систем учета сетевых организаций являются</w:t>
      </w:r>
      <w:r w:rsidR="005F3684" w:rsidRPr="00A71136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Pr="00A71136">
        <w:rPr>
          <w:rFonts w:ascii="Times New Roman" w:hAnsi="Times New Roman" w:cs="Times New Roman"/>
          <w:sz w:val="24"/>
          <w:szCs w:val="24"/>
        </w:rPr>
        <w:t>:</w:t>
      </w:r>
      <w:r w:rsidR="005F3684" w:rsidRPr="00A71136">
        <w:rPr>
          <w:rFonts w:ascii="Times New Roman" w:hAnsi="Times New Roman" w:cs="Times New Roman"/>
          <w:sz w:val="24"/>
          <w:szCs w:val="24"/>
        </w:rPr>
        <w:t xml:space="preserve"> </w:t>
      </w:r>
      <w:r w:rsidRPr="00A71136">
        <w:rPr>
          <w:rFonts w:ascii="Times New Roman" w:hAnsi="Times New Roman" w:cs="Times New Roman"/>
          <w:sz w:val="24"/>
          <w:szCs w:val="24"/>
        </w:rPr>
        <w:t>сетевые организации - в отношении приборов учета электрической энергии, присоединенных к интеллектуальным системам учета, владельцами которых являются смежные сетевые организации и которые используются для коммерческого учета электрической энергии (мощности) в точках поставки по заключенным такими сетевыми организациями договорам оказания услуг по передаче электрической энергии;</w:t>
      </w:r>
    </w:p>
    <w:p w:rsidR="007E4E00" w:rsidRPr="00A71136" w:rsidRDefault="00056285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В соответствии с п.8 Постановления Правительства РФ от 19.06.2020 №890 "О порядке предоставления доступа к минимальному набору функций интеллектуальных систем учета электрической энергии (мощности)" </w:t>
      </w:r>
      <w:r w:rsidR="007E4E00" w:rsidRPr="00A71136">
        <w:rPr>
          <w:rFonts w:ascii="Times New Roman" w:hAnsi="Times New Roman" w:cs="Times New Roman"/>
          <w:sz w:val="24"/>
          <w:szCs w:val="24"/>
        </w:rPr>
        <w:t>Владельцы интеллектуальных систем учета обязаны обеспечить пользователям интеллектуальных систем учета непрерывный доступ к минимальному набору функций интеллектуальных систем учета, в том числе:</w:t>
      </w:r>
    </w:p>
    <w:p w:rsidR="007E4E00" w:rsidRPr="00A71136" w:rsidRDefault="005F3684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- </w:t>
      </w:r>
      <w:r w:rsidR="007E4E00" w:rsidRPr="00A71136">
        <w:rPr>
          <w:rFonts w:ascii="Times New Roman" w:hAnsi="Times New Roman" w:cs="Times New Roman"/>
          <w:sz w:val="24"/>
          <w:szCs w:val="24"/>
        </w:rPr>
        <w:t>при возникновении отказа в работе интеллектуальной системы учета обеспечить восстановление доступа не позднее 24 часов с момента обнаружения отказа владельцем интеллектуальной системы учета или получения сообщения от пользователей такой системы в отношении функций, указанных в подпунктах "е" и "ж"</w:t>
      </w:r>
      <w:r w:rsidR="00056285" w:rsidRPr="00A71136">
        <w:rPr>
          <w:rFonts w:ascii="Times New Roman" w:hAnsi="Times New Roman" w:cs="Times New Roman"/>
          <w:sz w:val="24"/>
          <w:szCs w:val="24"/>
        </w:rPr>
        <w:t>;</w:t>
      </w:r>
    </w:p>
    <w:p w:rsidR="007E4E00" w:rsidRPr="00A71136" w:rsidRDefault="005F3684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- </w:t>
      </w:r>
      <w:r w:rsidR="007E4E00" w:rsidRPr="00A71136">
        <w:rPr>
          <w:rFonts w:ascii="Times New Roman" w:hAnsi="Times New Roman" w:cs="Times New Roman"/>
          <w:sz w:val="24"/>
          <w:szCs w:val="24"/>
        </w:rPr>
        <w:t>при возникновении отказа в работе интеллектуальной системы учета обеспечить восстановление доступа в течение 7 дней со дня обнаружения отказа владельцем интеллектуальной системы учета или получения сообщения от пользователей такой системы в отношении функций, указанных в подпунктах "а" - "д". 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Расходы сетевой организации, понесенные ею для исполнения обязательств, предусмотренных </w:t>
      </w:r>
      <w:hyperlink r:id="rId10" w:history="1">
        <w:r w:rsidRPr="00A71136">
          <w:rPr>
            <w:rFonts w:ascii="Times New Roman" w:hAnsi="Times New Roman" w:cs="Times New Roman"/>
            <w:sz w:val="24"/>
            <w:szCs w:val="24"/>
          </w:rPr>
          <w:t>пунктом 5 статьи 37</w:t>
        </w:r>
      </w:hyperlink>
      <w:r w:rsidRPr="00A71136">
        <w:rPr>
          <w:rFonts w:ascii="Times New Roman" w:hAnsi="Times New Roman" w:cs="Times New Roman"/>
          <w:sz w:val="24"/>
          <w:szCs w:val="24"/>
        </w:rPr>
        <w:t xml:space="preserve"> 35-ФЗ, подлежат включению в состав тарифа на услуги по передаче электрической энергии и (или) платы за технологическое присоединение в соответствии с законодательством Российской Федерации об электроэнергетике.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Проекты включают строительство интеллектуальных систем учета электроэнергии филиала ООО «Газпром энерго» в определенном регионе. Узлы учета электроэнергии входят в состав интеллектуальных систем, устанавливаемых на границе балансовой принадлежности, при этом предполагается замена узлов учета, не соответствующих требованиям текущего законодательства (постановление Правительства РФ </w:t>
      </w:r>
      <w:r w:rsidR="005F3684" w:rsidRPr="00A71136">
        <w:rPr>
          <w:rFonts w:ascii="Times New Roman" w:hAnsi="Times New Roman" w:cs="Times New Roman"/>
          <w:sz w:val="24"/>
          <w:szCs w:val="24"/>
        </w:rPr>
        <w:t xml:space="preserve">от 19.06.2020 </w:t>
      </w:r>
      <w:r w:rsidRPr="00A71136">
        <w:rPr>
          <w:rFonts w:ascii="Times New Roman" w:hAnsi="Times New Roman" w:cs="Times New Roman"/>
          <w:sz w:val="24"/>
          <w:szCs w:val="24"/>
        </w:rPr>
        <w:t xml:space="preserve">№890 «О порядке предоставления доступа к минимальному набору функций интеллектуальных систем учета электрической энергии (мощности)» утвердившим Правила предоставления доступа к минимальному набору функций интеллектуальных систем учета электрической энергии (мощности), далее Правила). 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В состав передаваемых показаний и результатов измерений прибора учета электрической энергии, присоединенного к интеллектуальной системе учета, входят все показания и результаты измерений прибора учета электрической энергии, которые были использованы для формирования предоставляемой в соответствии с Правилами информации о количестве и иных параметрах электрической энергии. 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В интеллектуальной системе учета для пользователей интеллектуальной системы учета должны быть реализованы следующие функции: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а) передача показаний и результатов измерений прибора учета электрической энергии, присоединенного к интеллектуальной системе учета;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б) предоставление информации о количестве и иных параметрах электрической энергии;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в) полное и (или) частичное ограничение режима потребления электрической энергии (приостановление или ограничение предоставления коммунальной услуги), а также возобновление подачи электрической энергии;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г) установление и изменение зон суток (часов, дней недели, месяцев), по которым прибором учета электрической энергии, присоединенным к интеллектуальной системе учета, осуществляется суммирование объемов электрической энергии в соответствии с дифференциацией тарифов (цен), предусмотренной законодательством Российской Федерации (далее - тарифные зоны);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lastRenderedPageBreak/>
        <w:t>д) передача данных о параметрах настройки и событиях, зафиксирован в соответствии с дифференциацией тарифов (цен), предусмотренной законодательством Российской Федерации (далее - тарифные зоны);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д) передача данных о параметрах настройки и событиях, зафиксированных прибором учета электрической энергии, присоединенным к интеллектуальной системе учета;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е) передача справочной информации;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ж) передача архива данных;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з) оповещение о возможных недостоверных данных, поступающих с приборов учета в случае срабатывания индикаторов вскрытия электронных пломб на корпусе и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клеммной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крышке прибора учета, воздействия магнитным полем на элементы прибора учета, неработоспособности прибора учета вследствие аппаратного или программного сбоя, его отключения (после повторного включения), перезагрузки.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В состав информации о количестве и иных параметрах электрической энергии входят: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а) объем принятой и отданной электрической энергии, учтенный по точке поставки, в том числе по тарифным зонам и в случаях, предусмотренных Правилами, в почасовой или получасовой разбивке;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б) объем принятой и отданной реактивной энергии, учтенный по точке поставки, в том числе по тарифным зонам;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в) порог превышения соотношения величин потребления активной и реактивной мощности, а также длительность отклонения соотношения потребления активной и реактивной мощности от предельного значения, установленного в соответствии с нормативными правовыми актами Российской Федерации в сфере электроэнергетики, и максимального значения отклонения в расчетном периоде по точке поставки;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г) значения максимальных в каждые рабочие сутки расчетного периода почасовых объемов электрической энергии, учтенные по точке поставки в установленные системным оператором плановые часы пиковой нагрузки, и среднее арифметическое из данных значений за расчетный период;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д) значения максимальной и минимальной фактической активной, реактивной и полной мощности по точке поставки;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е) информация о величине резервируемой максимальной мощности;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ж) величина потерь электрической энергии в объектах электросетевого хозяйства на участке сети от физического места установки прибора учета (далее - точка учета) до точки поставки;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з) информация о нарушении индивидуальных параметров качества электроснабжения по точке учета;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и) алгоритм определения объема принятой и отданной электрической энергии по точке поставки на основании результатов измерений приборов учета.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Прибор учета электрической энергии, который может быть присоединен к интеллектуальной системе учета, должен удовлетворять требованиям, предъявляемым законодательством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измерений, и обеспечивать в точке учета: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а) измерение активной и реактивной энергии в сетях переменного тока в двух направлениях с классом точности 1,0 и выше по активной энергии и 2,0 по реактивной энергии (0,5S и выше по активной энергии и 1,0 по реактивной энергии для приборов учета электрической энергии трансформаторного включения) и установленным интервалом между поверками не менее 16 лет для однофазных приборов учета электрической энергии и не менее 10 лет для трехфазных приборов учета электрической энергии;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б) 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lastRenderedPageBreak/>
        <w:t>в) 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г) возможность синхронизации и коррекции времени с внешним источником сигналов точного времени;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д) 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 - тарифное расписание);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е) измерение и вычисление: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фазного напряжения в каждой фазе;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линейного напряжения (для трехфазных приборов учета электрической энергии);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фазного тока в каждой фазе;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активной, реактивной и полной мощности в каждой фазе и суммарной мощности;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значения тока в нулевом проводе (для однофазного прибора учета электрической энергии);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небаланса токов в фазном и нулевом проводах (для однофазного прибора учета электрической энергии);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частоты электрической сети;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ж) 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 30804.4.30-2013);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з) контроль наличия внешнего переменного и постоянного магнитного поля;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и) отображение на встроенном и (или) выносном цифровом дисплее: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текущих даты и времени;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текущих значений потребленной электрической энергии суммарно и по тарифным зонам;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текущих значений активной и реактивной мощности, напряжения, тока и частоты;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значения потребленной электрической энергии на конец последнего программируемого расчетного периода суммарно и по тарифным зонам;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индикатора режима приема и отдачи электрической энергии;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индикатора факта нарушения индивидуальных параметров качества электроснабжения;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индикатора вскрытия электронных пломб на корпусе и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клеммной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крышке прибора учета электрической энергии;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индикатора факта события воздействия магнитных полей со значением модуля вектора магнитной индукции свыше 150 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мТл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(пиковое значение) на элементы прибора учета электрической энергии;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индикатора неработоспособности прибора учета электрической энергии вследствие аппаратного или программного сбоя;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к) 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 31 октября 2009 г. № 879 "Об утверждении Положения о единицах величин, допускаемых к применению в Российской Федерации" (обозначение активной электрической энергии - в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кВт·ч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, реактивной - в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кВАр·ч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>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л) индикацию функционирования (работоспособного состояния) на корпусе и выносном дисплее (при наличии выносного дисплея);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м) наличие 2 интерфейсов связи для организации канала связи (оптического и иного другого),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</w:t>
      </w:r>
      <w:r w:rsidRPr="00E30703">
        <w:rPr>
          <w:rFonts w:ascii="Times New Roman" w:hAnsi="Times New Roman" w:cs="Times New Roman"/>
          <w:sz w:val="24"/>
          <w:szCs w:val="24"/>
        </w:rPr>
        <w:t xml:space="preserve">связи </w:t>
      </w:r>
      <w:proofErr w:type="spellStart"/>
      <w:r w:rsidRPr="00E30703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>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lastRenderedPageBreak/>
        <w:t>н) защиту прибора учета электрической энергии от несанкционированного доступа с помощью реализации в приборе учета: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идентификации и аутентификации;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контроля доступа;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контроля целостности;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регистрации событий безопасности в журнале событий;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о) фиксирование несанкционированного доступа к прибору учета посредством энергонезависимой электронной пломбы, фиксирующей вскрытие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клеммной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крышки и вскрытие корпуса (для разборных корпусов);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п) 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 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мТл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(пиковое значение);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р) 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 - в отдельные выделенные сегменты энергонезависимой памяти прибора учета электрической энергии (далее соответственно - журнал событий, ведение журнала событий) в объеме не менее чем на 500 записей;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с) ведение журнала событий, в котором должно фиксироваться следующее: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дата и время вскрытия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клеммной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крышки;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дата и время вскрытия корпуса прибора учета электрической энергии (для разборных корпусов);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дата, время и причина включения и отключения встроенного коммутационного аппарата;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дата и время последнего перепрограммирования;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дата, время, тип и параметры выполненной команды;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попытка доступа с неуспешной идентификацией и (или) аутентификацией;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попытка доступа с нарушением правил управления доступом;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попытка несанкционированного нарушения целостности программного обеспечения и параметров;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изменение направления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перетока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мощности (для однофазных и трехфазных приборов учета электрической энергии);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дата и время воздействия постоянного или переменного магнитного поля со значением модуля вектора магнитной индукции свыше 150 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мТл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(пиковое значение) с визуализацией индикации;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дата и время отклонения напряжения в измерительных цепях от заданных пределов;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инверсия фазы или нарушение чередования фаз (для трехфазных приборов учета электрической энергии);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превышение соотношения величин потребления активной и реактивной мощности;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небаланс тока в нулевом и фазном проводе (для однофазных приборов учета электрической энергии);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превышение заданного предела мощности;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lastRenderedPageBreak/>
        <w:t>т) формирование по результатам автоматической самодиагностики обобщенного события или каждого факта события;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у) 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ф) 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запрос интеллектуальной системы учета;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превышение заданных в приборе учета электрической энергии пределов параметров электрической сети;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превышение заданного в приборе учета электрической энергии предела электрической энергии (мощности);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несанкционированный доступ к прибору учета электрической энергии (вскрытие 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клеммной</w:t>
      </w:r>
      <w:proofErr w:type="spellEnd"/>
      <w:r w:rsidRPr="00A71136">
        <w:rPr>
          <w:rFonts w:ascii="Times New Roman" w:hAnsi="Times New Roman" w:cs="Times New Roman"/>
          <w:sz w:val="24"/>
          <w:szCs w:val="24"/>
        </w:rPr>
        <w:t xml:space="preserve"> крышки, вскрытие корпуса (для разборных корпусов) и воздействие постоянным и переменным магнитным полем);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х) 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ц) хранение профиля принятой и отданной активной и реактивной энергии (мощности) с программируемым интервалом времени интегрирования от 1 минуты до 60 минут и периодом хранения не менее 90 суток (при времени интегрирования 30 минут);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ч) 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ш) 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щ) 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корректировку текущей даты и (или) времени, часового пояса;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изменение тарифного расписания;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программирование состава и последовательности вывода сообщений и измеряемых параметров на дисплей;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программирование параметров фиксации индивидуальных параметров качества электроснабжения;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программирование даты начала расчетного периода;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программирование параметров срабатывания встроенных коммутационных аппаратов;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изменение паролей доступа к параметрам;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lastRenderedPageBreak/>
        <w:t>изменение ключей шифрования;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</w:r>
    </w:p>
    <w:p w:rsidR="007E4E00" w:rsidRPr="00A71136" w:rsidRDefault="007E4E00" w:rsidP="005F36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э) 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</w:r>
    </w:p>
    <w:p w:rsidR="001F1473" w:rsidRPr="00A71136" w:rsidRDefault="001F1473" w:rsidP="005F3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ab/>
      </w:r>
      <w:r w:rsidR="0051047B" w:rsidRPr="00A71136">
        <w:rPr>
          <w:rFonts w:ascii="Times New Roman" w:hAnsi="Times New Roman" w:cs="Times New Roman"/>
          <w:sz w:val="24"/>
          <w:szCs w:val="24"/>
        </w:rPr>
        <w:t>Исходя и</w:t>
      </w:r>
      <w:r w:rsidR="00FF5316" w:rsidRPr="00A71136">
        <w:rPr>
          <w:rFonts w:ascii="Times New Roman" w:hAnsi="Times New Roman" w:cs="Times New Roman"/>
          <w:sz w:val="24"/>
          <w:szCs w:val="24"/>
        </w:rPr>
        <w:t xml:space="preserve">з требований </w:t>
      </w:r>
      <w:r w:rsidRPr="00A71136">
        <w:rPr>
          <w:rFonts w:ascii="Times New Roman" w:hAnsi="Times New Roman" w:cs="Times New Roman"/>
          <w:sz w:val="24"/>
          <w:szCs w:val="24"/>
        </w:rPr>
        <w:t xml:space="preserve">действующего </w:t>
      </w:r>
      <w:r w:rsidR="00FF5316" w:rsidRPr="00A71136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A71136">
        <w:rPr>
          <w:rFonts w:ascii="Times New Roman" w:hAnsi="Times New Roman" w:cs="Times New Roman"/>
          <w:sz w:val="24"/>
          <w:szCs w:val="24"/>
        </w:rPr>
        <w:t xml:space="preserve"> РФ</w:t>
      </w:r>
      <w:r w:rsidR="00FF5316" w:rsidRPr="00A71136">
        <w:rPr>
          <w:rFonts w:ascii="Times New Roman" w:hAnsi="Times New Roman" w:cs="Times New Roman"/>
          <w:sz w:val="24"/>
          <w:szCs w:val="24"/>
        </w:rPr>
        <w:t>, возможных</w:t>
      </w:r>
      <w:r w:rsidR="0051047B" w:rsidRPr="00A71136">
        <w:rPr>
          <w:rFonts w:ascii="Times New Roman" w:hAnsi="Times New Roman" w:cs="Times New Roman"/>
          <w:sz w:val="24"/>
          <w:szCs w:val="24"/>
        </w:rPr>
        <w:t xml:space="preserve"> штрафных санкций ООО «Газпром энерго» в лице Центрального филиала планирует установку приборов учета 0,4 </w:t>
      </w:r>
      <w:proofErr w:type="spellStart"/>
      <w:r w:rsidR="0051047B" w:rsidRPr="00A7113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51047B" w:rsidRPr="00A71136">
        <w:rPr>
          <w:rFonts w:ascii="Times New Roman" w:hAnsi="Times New Roman" w:cs="Times New Roman"/>
          <w:sz w:val="24"/>
          <w:szCs w:val="24"/>
        </w:rPr>
        <w:t xml:space="preserve"> (одно-, трехфазных) в количестве </w:t>
      </w:r>
      <w:r w:rsidR="00F70A4E">
        <w:rPr>
          <w:rFonts w:ascii="Times New Roman" w:hAnsi="Times New Roman" w:cs="Times New Roman"/>
          <w:sz w:val="24"/>
          <w:szCs w:val="24"/>
        </w:rPr>
        <w:t>1</w:t>
      </w:r>
      <w:r w:rsidR="00BC7B93" w:rsidRPr="00A71136">
        <w:rPr>
          <w:rFonts w:ascii="Times New Roman" w:hAnsi="Times New Roman" w:cs="Times New Roman"/>
          <w:sz w:val="24"/>
          <w:szCs w:val="24"/>
        </w:rPr>
        <w:t>5</w:t>
      </w:r>
      <w:r w:rsidR="0051047B" w:rsidRPr="00A71136">
        <w:rPr>
          <w:rFonts w:ascii="Times New Roman" w:hAnsi="Times New Roman" w:cs="Times New Roman"/>
          <w:sz w:val="24"/>
          <w:szCs w:val="24"/>
        </w:rPr>
        <w:t xml:space="preserve"> штук на объектах, расположенных в </w:t>
      </w:r>
      <w:r w:rsidR="00BC7B93" w:rsidRPr="00A71136">
        <w:rPr>
          <w:rFonts w:ascii="Times New Roman" w:hAnsi="Times New Roman" w:cs="Times New Roman"/>
          <w:sz w:val="24"/>
          <w:szCs w:val="24"/>
        </w:rPr>
        <w:t>Тульской</w:t>
      </w:r>
      <w:r w:rsidR="0051047B" w:rsidRPr="00A71136">
        <w:rPr>
          <w:rFonts w:ascii="Times New Roman" w:hAnsi="Times New Roman" w:cs="Times New Roman"/>
          <w:sz w:val="24"/>
          <w:szCs w:val="24"/>
        </w:rPr>
        <w:t xml:space="preserve"> области в рамках реали</w:t>
      </w:r>
      <w:r w:rsidR="00BC7B93" w:rsidRPr="00A71136">
        <w:rPr>
          <w:rFonts w:ascii="Times New Roman" w:hAnsi="Times New Roman" w:cs="Times New Roman"/>
          <w:sz w:val="24"/>
          <w:szCs w:val="24"/>
        </w:rPr>
        <w:t xml:space="preserve">зации </w:t>
      </w:r>
      <w:r w:rsidRPr="00A71136">
        <w:rPr>
          <w:rFonts w:ascii="Times New Roman" w:hAnsi="Times New Roman" w:cs="Times New Roman"/>
          <w:sz w:val="24"/>
          <w:szCs w:val="24"/>
        </w:rPr>
        <w:t>Инвестиционного проекта «Интеллектуальная система учета электроэнергии Центрального филиала ООО "Газпром энерго».</w:t>
      </w:r>
    </w:p>
    <w:p w:rsidR="00F9664E" w:rsidRPr="00A71136" w:rsidRDefault="00F9664E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Таким образом, реализация мероприятия </w:t>
      </w:r>
      <w:r w:rsidR="00D64E18">
        <w:rPr>
          <w:rFonts w:ascii="Times New Roman" w:hAnsi="Times New Roman" w:cs="Times New Roman"/>
          <w:sz w:val="24"/>
          <w:szCs w:val="24"/>
        </w:rPr>
        <w:t>и</w:t>
      </w:r>
      <w:r w:rsidR="001F1473" w:rsidRPr="00A71136">
        <w:rPr>
          <w:rFonts w:ascii="Times New Roman" w:hAnsi="Times New Roman" w:cs="Times New Roman"/>
          <w:sz w:val="24"/>
          <w:szCs w:val="24"/>
        </w:rPr>
        <w:t xml:space="preserve">нвестиционного проекта «Интеллектуальная система учета электроэнергии Центрального филиала ООО "Газпром энерго» </w:t>
      </w:r>
      <w:r w:rsidRPr="00A71136">
        <w:rPr>
          <w:rFonts w:ascii="Times New Roman" w:hAnsi="Times New Roman" w:cs="Times New Roman"/>
          <w:sz w:val="24"/>
          <w:szCs w:val="24"/>
        </w:rPr>
        <w:t>обусловлена необходимостью выполнения сетевой организацией предусмотренных законодательством Российской Федерации обязательных требований к объектам основных средств и нематериальных активов, используемых сетевой организацией при осуществлении регулируемых видов деятельности в сфере электроэнергетики.</w:t>
      </w:r>
    </w:p>
    <w:p w:rsidR="00AC7323" w:rsidRPr="00A71136" w:rsidRDefault="00AC7323" w:rsidP="005F3684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F3684" w:rsidRPr="00A71136" w:rsidRDefault="005F3684" w:rsidP="005F3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4E8" w:rsidRPr="003463D2" w:rsidRDefault="002474E8" w:rsidP="003463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52BBE" w:rsidRPr="00A71136" w:rsidRDefault="00652BBE" w:rsidP="00B25640">
      <w:pPr>
        <w:pStyle w:val="a4"/>
        <w:numPr>
          <w:ilvl w:val="1"/>
          <w:numId w:val="10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4" w:name="_Toc169622477"/>
      <w:r w:rsidRPr="00A71136">
        <w:rPr>
          <w:rFonts w:ascii="Times New Roman" w:hAnsi="Times New Roman" w:cs="Times New Roman"/>
          <w:b/>
          <w:sz w:val="24"/>
          <w:szCs w:val="24"/>
        </w:rPr>
        <w:t>Реализация мероприятия «Приобретение специализированного грузового автотранспорта»</w:t>
      </w:r>
      <w:bookmarkEnd w:id="4"/>
    </w:p>
    <w:p w:rsidR="00B25640" w:rsidRPr="001F1473" w:rsidRDefault="00B25640" w:rsidP="00B25640">
      <w:pPr>
        <w:pStyle w:val="a4"/>
        <w:tabs>
          <w:tab w:val="left" w:pos="31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Реализация мероприятия</w:t>
      </w:r>
      <w:r w:rsidRPr="00AB50B9">
        <w:rPr>
          <w:rFonts w:ascii="Times New Roman" w:hAnsi="Times New Roman" w:cs="Times New Roman"/>
          <w:sz w:val="24"/>
          <w:szCs w:val="24"/>
        </w:rPr>
        <w:t xml:space="preserve"> инвестиционной программы Центрального филиала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B50B9">
        <w:rPr>
          <w:rFonts w:ascii="Times New Roman" w:hAnsi="Times New Roman" w:cs="Times New Roman"/>
          <w:sz w:val="24"/>
          <w:szCs w:val="24"/>
        </w:rPr>
        <w:t>ООО «Газпром энерго»:</w:t>
      </w:r>
      <w:r>
        <w:rPr>
          <w:rFonts w:ascii="Times New Roman" w:hAnsi="Times New Roman" w:cs="Times New Roman"/>
          <w:sz w:val="24"/>
          <w:szCs w:val="24"/>
        </w:rPr>
        <w:t xml:space="preserve"> «Приобретение специализированного грузового автотранспорта» </w:t>
      </w:r>
      <w:r w:rsidRPr="001F1473">
        <w:rPr>
          <w:rFonts w:ascii="Times New Roman" w:hAnsi="Times New Roman" w:cs="Times New Roman"/>
          <w:sz w:val="24"/>
          <w:szCs w:val="24"/>
        </w:rPr>
        <w:t>направлена на хозяйственное обеспечение текущей производственной деятельности сетевой организации.</w:t>
      </w:r>
    </w:p>
    <w:p w:rsidR="00B25640" w:rsidRPr="00B76AAE" w:rsidRDefault="00B25640" w:rsidP="00B76AAE">
      <w:pPr>
        <w:pStyle w:val="ab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6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 «Газпром энерго» является сетевой организацией, оказывающей услуги по передаче электрической энергии на территории Тульской области. Среди абонентов, подключенных в электрическим сетям ООО «Газпром энерго», присутствует население, бюджетные потребители, а также прочие юридические лица.</w:t>
      </w:r>
    </w:p>
    <w:p w:rsidR="00B25640" w:rsidRPr="00B76AAE" w:rsidRDefault="00B25640" w:rsidP="00B76AAE">
      <w:pPr>
        <w:pStyle w:val="ab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6AAE">
        <w:rPr>
          <w:rFonts w:ascii="Times New Roman" w:hAnsi="Times New Roman" w:cs="Times New Roman"/>
          <w:sz w:val="24"/>
          <w:szCs w:val="24"/>
        </w:rPr>
        <w:t xml:space="preserve">Реализация инвестиционного проекта «Приобретение специализированного грузового автотранспорта» обусловлена необходимостью </w:t>
      </w:r>
      <w:r w:rsidRPr="00B76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работ по ремонту и обслуживанию объектов электросетевого хозяйства. Приобретение специализированного автотранспорта позволит решить следующие задачи:</w:t>
      </w:r>
    </w:p>
    <w:p w:rsidR="00B25640" w:rsidRPr="00B76AAE" w:rsidRDefault="00B25640" w:rsidP="00B76AAE">
      <w:pPr>
        <w:pStyle w:val="ab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6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надежности оказания услуг по передаче электрической энергии потребителям электрической энергии, расположенным в Тульской обл.;</w:t>
      </w:r>
    </w:p>
    <w:p w:rsidR="00B25640" w:rsidRPr="00B76AAE" w:rsidRDefault="00B25640" w:rsidP="00B76AAE">
      <w:pPr>
        <w:pStyle w:val="ab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6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надежного энергоснабжения объектов единой системы газоснабжения, осуществляющих поставку природного газа на территорию Тульской обл.;</w:t>
      </w:r>
    </w:p>
    <w:p w:rsidR="00B25640" w:rsidRPr="00B76AAE" w:rsidRDefault="00B25640" w:rsidP="00B76AAE">
      <w:pPr>
        <w:pStyle w:val="ab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6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снижение времени устранения аварий на </w:t>
      </w:r>
      <w:proofErr w:type="spellStart"/>
      <w:r w:rsidRPr="00B76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энергообъектах</w:t>
      </w:r>
      <w:proofErr w:type="spellEnd"/>
      <w:r w:rsidRPr="00B76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25640" w:rsidRPr="00B76AAE" w:rsidRDefault="00B25640" w:rsidP="00B76AAE">
      <w:pPr>
        <w:pStyle w:val="ab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6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своевременное выполнение плановых ремонтных мероприятий на </w:t>
      </w:r>
      <w:proofErr w:type="spellStart"/>
      <w:r w:rsidRPr="00B76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энергообъектах</w:t>
      </w:r>
      <w:proofErr w:type="spellEnd"/>
      <w:r w:rsidRPr="00B76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Тульской обл.;</w:t>
      </w:r>
    </w:p>
    <w:p w:rsidR="00B25640" w:rsidRPr="00B76AAE" w:rsidRDefault="00B25640" w:rsidP="00B76AAE">
      <w:pPr>
        <w:pStyle w:val="ab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6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перевозка материалов, необходимых для проведения работ на объектах электроснабжения;</w:t>
      </w:r>
    </w:p>
    <w:p w:rsidR="00B25640" w:rsidRDefault="00B25640" w:rsidP="00B76AAE">
      <w:pPr>
        <w:pStyle w:val="ab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6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строительство и реконструкция электрических сетей.</w:t>
      </w:r>
    </w:p>
    <w:p w:rsidR="00B82B76" w:rsidRPr="00B82B76" w:rsidRDefault="00B82B76" w:rsidP="00B82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2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состоянию на 01.01.2023 года на территории Тульской области отсутствует автомобильная техника, закрепленная за объектами электросетевого хозяйства Центрального филиала ООО «Газпром энерго». На сегодняшний день у организации существует потребность в специальной технике для ремонта и обслуживания </w:t>
      </w:r>
      <w:r w:rsidRPr="00B82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электрических сетей. Приказом Госстроя РФ от 05.09.200 № 200 определено нормативное количество машин и механизмов, которое определяется в соответствии с количеством условных единиц объема работ по электрическим сетям. В соответствии с Протоколом заседания Правления комитета Тульской области по тарифам №50 от 25.11.2022        количество условных единиц на 2023 год составило 789,93 у.е.</w:t>
      </w:r>
    </w:p>
    <w:p w:rsidR="00B82B76" w:rsidRDefault="00B82B76" w:rsidP="00B82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2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нормативного количества машин:</w:t>
      </w:r>
    </w:p>
    <w:tbl>
      <w:tblPr>
        <w:tblW w:w="9559" w:type="dxa"/>
        <w:tblInd w:w="113" w:type="dxa"/>
        <w:tblLook w:val="04A0" w:firstRow="1" w:lastRow="0" w:firstColumn="1" w:lastColumn="0" w:noHBand="0" w:noVBand="1"/>
      </w:tblPr>
      <w:tblGrid>
        <w:gridCol w:w="1025"/>
        <w:gridCol w:w="4958"/>
        <w:gridCol w:w="714"/>
        <w:gridCol w:w="1025"/>
        <w:gridCol w:w="1361"/>
        <w:gridCol w:w="476"/>
      </w:tblGrid>
      <w:tr w:rsidR="00233686" w:rsidRPr="003D3E5C" w:rsidTr="00033EC3">
        <w:trPr>
          <w:trHeight w:val="239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3686" w:rsidRPr="003D3E5C" w:rsidRDefault="0023368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поз по табл. МУ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3686" w:rsidRPr="003D3E5C" w:rsidRDefault="0023368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машин и механизмов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3686" w:rsidRPr="003D3E5C" w:rsidRDefault="0023368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УЕ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3686" w:rsidRPr="003D3E5C" w:rsidRDefault="0023368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</w:t>
            </w:r>
            <w:proofErr w:type="gramStart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транс-порта</w:t>
            </w:r>
            <w:proofErr w:type="gramEnd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1000 </w:t>
            </w:r>
            <w:proofErr w:type="spellStart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</w:t>
            </w:r>
            <w:proofErr w:type="spellEnd"/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3686" w:rsidRPr="003D3E5C" w:rsidRDefault="0023368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Нормативное </w:t>
            </w:r>
            <w:proofErr w:type="gramStart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коли-во машин</w:t>
            </w:r>
            <w:proofErr w:type="gramEnd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механизмов </w:t>
            </w: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3686" w:rsidRPr="003D3E5C" w:rsidRDefault="0023368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999FF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color w:val="9999FF"/>
                <w:sz w:val="20"/>
                <w:szCs w:val="20"/>
                <w:vertAlign w:val="superscript"/>
                <w:lang w:eastAsia="ru-RU"/>
              </w:rPr>
              <w:t> </w:t>
            </w:r>
          </w:p>
        </w:tc>
      </w:tr>
      <w:tr w:rsidR="00233686" w:rsidRPr="003D3E5C" w:rsidTr="00033EC3">
        <w:trPr>
          <w:trHeight w:val="239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3686" w:rsidRPr="003D3E5C" w:rsidRDefault="0023368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3686" w:rsidRPr="003D3E5C" w:rsidRDefault="0023368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3686" w:rsidRPr="003D3E5C" w:rsidRDefault="0023368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3686" w:rsidRPr="003D3E5C" w:rsidRDefault="0023368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33686" w:rsidRPr="003D3E5C" w:rsidRDefault="0023368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686" w:rsidRPr="003D3E5C" w:rsidRDefault="0023368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999FF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color w:val="9999FF"/>
                <w:sz w:val="20"/>
                <w:szCs w:val="20"/>
                <w:vertAlign w:val="superscript"/>
                <w:lang w:eastAsia="ru-RU"/>
              </w:rPr>
              <w:t> </w:t>
            </w:r>
          </w:p>
        </w:tc>
      </w:tr>
      <w:tr w:rsidR="00233686" w:rsidRPr="00F374F3" w:rsidTr="00033EC3">
        <w:trPr>
          <w:trHeight w:val="239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686" w:rsidRPr="003D3E5C" w:rsidRDefault="0023368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686" w:rsidRPr="003D3E5C" w:rsidRDefault="0023368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686" w:rsidRPr="003D3E5C" w:rsidRDefault="0023368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686" w:rsidRPr="003D3E5C" w:rsidRDefault="0023368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hideMark/>
          </w:tcPr>
          <w:p w:rsidR="00233686" w:rsidRPr="003D3E5C" w:rsidRDefault="0023368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686" w:rsidRPr="003D3E5C" w:rsidRDefault="0023368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 </w:t>
            </w:r>
          </w:p>
        </w:tc>
      </w:tr>
      <w:tr w:rsidR="00233686" w:rsidRPr="003D3E5C" w:rsidTr="00033EC3">
        <w:trPr>
          <w:trHeight w:val="252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686" w:rsidRPr="003D3E5C" w:rsidRDefault="0023368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686" w:rsidRPr="003D3E5C" w:rsidRDefault="0023368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Машина бурильно-крановая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686" w:rsidRPr="003D3E5C" w:rsidRDefault="0023368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686" w:rsidRPr="003D3E5C" w:rsidRDefault="0023368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686" w:rsidRPr="003D3E5C" w:rsidRDefault="0023368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686" w:rsidRPr="003D3E5C" w:rsidRDefault="0023368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</w:p>
        </w:tc>
      </w:tr>
    </w:tbl>
    <w:p w:rsidR="00233686" w:rsidRPr="00B82B76" w:rsidRDefault="00233686" w:rsidP="00233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2B76" w:rsidRDefault="00B82B76" w:rsidP="00B82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целью удовлетворения потребности организации в машинах и механизмах, необходимых для эксплуатации и ремонта электрический сетей на территории Тульской области планируется приобретение специализированного грузового автотранспорта в количестве – 1 шт. </w:t>
      </w:r>
    </w:p>
    <w:p w:rsidR="00B82B76" w:rsidRDefault="00B82B76" w:rsidP="00B82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приведена информация о потребности в машинах и механизмах, необходимых для эксплуатации и ремонта электрических сетей Центрального филиала ООО «Газпром энерго» в Тульской области:</w:t>
      </w:r>
    </w:p>
    <w:tbl>
      <w:tblPr>
        <w:tblW w:w="959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567"/>
        <w:gridCol w:w="649"/>
        <w:gridCol w:w="380"/>
        <w:gridCol w:w="381"/>
        <w:gridCol w:w="574"/>
        <w:gridCol w:w="983"/>
        <w:gridCol w:w="463"/>
        <w:gridCol w:w="539"/>
        <w:gridCol w:w="551"/>
        <w:gridCol w:w="583"/>
        <w:gridCol w:w="425"/>
        <w:gridCol w:w="599"/>
        <w:gridCol w:w="887"/>
        <w:gridCol w:w="463"/>
      </w:tblGrid>
      <w:tr w:rsidR="00B82B76" w:rsidRPr="00233686" w:rsidTr="00D05D92">
        <w:trPr>
          <w:trHeight w:val="35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машин и механизмов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Норма-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тивное</w:t>
            </w:r>
            <w:proofErr w:type="spellEnd"/>
            <w:proofErr w:type="gram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коли-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чество</w:t>
            </w:r>
            <w:proofErr w:type="spell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машин и меха-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низмов</w:t>
            </w:r>
            <w:proofErr w:type="spell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* 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Существующая техника на 01.01.2023г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техники, планируемой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к приобретению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период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2023-2026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годов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техники, планируемой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к выводу из эксплуатации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период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2023-2026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годов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техники на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31.12.2026</w:t>
            </w:r>
          </w:p>
        </w:tc>
      </w:tr>
      <w:tr w:rsidR="00D05D92" w:rsidRPr="00233686" w:rsidTr="00D05D92">
        <w:trPr>
          <w:trHeight w:val="671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Норма-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тивный</w:t>
            </w:r>
            <w:proofErr w:type="spellEnd"/>
            <w:proofErr w:type="gram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срок службы, лет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выпуска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ремонто-пригод-ность</w:t>
            </w:r>
            <w:proofErr w:type="spell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(да/нет)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</w:tr>
      <w:tr w:rsidR="00233686" w:rsidRPr="00233686" w:rsidTr="00D05D92">
        <w:trPr>
          <w:trHeight w:val="1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1</w:t>
            </w:r>
          </w:p>
        </w:tc>
      </w:tr>
      <w:tr w:rsidR="00233686" w:rsidRPr="00233686" w:rsidTr="00D05D92">
        <w:trPr>
          <w:trHeight w:val="41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Машина бурильно-крановая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B76" w:rsidRPr="00A63A1E" w:rsidRDefault="003404A3" w:rsidP="0034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B76" w:rsidRPr="00A63A1E" w:rsidRDefault="003404A3" w:rsidP="0034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2B76" w:rsidRPr="00A63A1E" w:rsidRDefault="003404A3" w:rsidP="0034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B76" w:rsidRPr="00A63A1E" w:rsidRDefault="00B82B76" w:rsidP="0034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B76" w:rsidRPr="00A63A1E" w:rsidRDefault="003404A3" w:rsidP="0034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 грузовой специальный с КМУ ГИРД 5849DA, шасси Урал NEXT 4320, КМУ ИТ-200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B76" w:rsidRPr="00A63A1E" w:rsidRDefault="003404A3" w:rsidP="0034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B76" w:rsidRPr="00A63A1E" w:rsidRDefault="003404A3" w:rsidP="0034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B76" w:rsidRPr="00A63A1E" w:rsidRDefault="003404A3" w:rsidP="0034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B76" w:rsidRPr="00A63A1E" w:rsidRDefault="003404A3" w:rsidP="0034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 грузовой специальный с КМУ ГИРД 5849DA, шасси Урал NEXT 4320, КМУ ИТ-200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B76" w:rsidRPr="00A63A1E" w:rsidRDefault="00B82B76" w:rsidP="0003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ru-RU"/>
              </w:rPr>
              <w:t>1</w:t>
            </w:r>
          </w:p>
        </w:tc>
      </w:tr>
    </w:tbl>
    <w:p w:rsidR="002945F2" w:rsidRDefault="002945F2" w:rsidP="002945F2">
      <w:pPr>
        <w:pStyle w:val="a4"/>
        <w:spacing w:after="0" w:line="240" w:lineRule="auto"/>
        <w:ind w:left="753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64E18" w:rsidRDefault="002945F2" w:rsidP="000E51CE">
      <w:pPr>
        <w:pStyle w:val="a4"/>
        <w:numPr>
          <w:ilvl w:val="1"/>
          <w:numId w:val="10"/>
        </w:numPr>
        <w:spacing w:after="0" w:line="240" w:lineRule="auto"/>
        <w:ind w:hanging="327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5" w:name="_Toc169622478"/>
      <w:r w:rsidRPr="002945F2">
        <w:rPr>
          <w:rFonts w:ascii="Times New Roman" w:hAnsi="Times New Roman" w:cs="Times New Roman"/>
          <w:b/>
          <w:sz w:val="24"/>
          <w:szCs w:val="24"/>
        </w:rPr>
        <w:t>Реализация мероприятия «</w:t>
      </w:r>
      <w:r w:rsidRPr="001A3C22">
        <w:rPr>
          <w:rFonts w:ascii="Times New Roman" w:hAnsi="Times New Roman" w:cs="Times New Roman"/>
          <w:b/>
          <w:sz w:val="24"/>
          <w:szCs w:val="24"/>
        </w:rPr>
        <w:t xml:space="preserve">Покупка </w:t>
      </w:r>
      <w:r>
        <w:rPr>
          <w:rFonts w:ascii="Times New Roman" w:hAnsi="Times New Roman" w:cs="Times New Roman"/>
          <w:b/>
          <w:sz w:val="24"/>
          <w:szCs w:val="24"/>
        </w:rPr>
        <w:t>генератора поискового ГП-500К (с кейсом) Ангстрем 1 шт.</w:t>
      </w:r>
      <w:r w:rsidRPr="002945F2">
        <w:rPr>
          <w:rFonts w:ascii="Times New Roman" w:hAnsi="Times New Roman" w:cs="Times New Roman"/>
          <w:b/>
          <w:sz w:val="24"/>
          <w:szCs w:val="24"/>
        </w:rPr>
        <w:t>»</w:t>
      </w:r>
      <w:bookmarkEnd w:id="5"/>
    </w:p>
    <w:p w:rsidR="002945F2" w:rsidRDefault="002945F2" w:rsidP="002945F2">
      <w:pPr>
        <w:pStyle w:val="a4"/>
        <w:tabs>
          <w:tab w:val="left" w:pos="316"/>
        </w:tabs>
        <w:spacing w:after="0" w:line="240" w:lineRule="auto"/>
        <w:ind w:left="753"/>
        <w:jc w:val="both"/>
        <w:rPr>
          <w:rFonts w:ascii="Times New Roman" w:hAnsi="Times New Roman" w:cs="Times New Roman"/>
          <w:sz w:val="24"/>
          <w:szCs w:val="24"/>
        </w:rPr>
      </w:pPr>
    </w:p>
    <w:p w:rsidR="002945F2" w:rsidRPr="001F1473" w:rsidRDefault="002945F2" w:rsidP="002945F2">
      <w:pPr>
        <w:pStyle w:val="a4"/>
        <w:spacing w:after="0" w:line="240" w:lineRule="auto"/>
        <w:ind w:left="0" w:firstLine="3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Реализация мероприятия</w:t>
      </w:r>
      <w:r w:rsidRPr="00AB50B9">
        <w:rPr>
          <w:rFonts w:ascii="Times New Roman" w:hAnsi="Times New Roman" w:cs="Times New Roman"/>
          <w:sz w:val="24"/>
          <w:szCs w:val="24"/>
        </w:rPr>
        <w:t xml:space="preserve"> инвестиционной программы Центрального филиала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B50B9">
        <w:rPr>
          <w:rFonts w:ascii="Times New Roman" w:hAnsi="Times New Roman" w:cs="Times New Roman"/>
          <w:sz w:val="24"/>
          <w:szCs w:val="24"/>
        </w:rPr>
        <w:t>ООО «Газпром энерго»: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473">
        <w:rPr>
          <w:rFonts w:ascii="Times New Roman" w:hAnsi="Times New Roman" w:cs="Times New Roman"/>
          <w:sz w:val="24"/>
          <w:szCs w:val="24"/>
        </w:rPr>
        <w:t>«</w:t>
      </w:r>
      <w:r w:rsidRPr="001F1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генератора поискового ГП-500К (с кейсом) Ангстрем 1 шт.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1F1473">
        <w:rPr>
          <w:rFonts w:ascii="Times New Roman" w:hAnsi="Times New Roman" w:cs="Times New Roman"/>
          <w:sz w:val="24"/>
          <w:szCs w:val="24"/>
        </w:rPr>
        <w:t>направлена на хозяйственное обеспечение текущей производственной деятельности сетевой организации.</w:t>
      </w:r>
    </w:p>
    <w:p w:rsidR="002945F2" w:rsidRPr="002945F2" w:rsidRDefault="002945F2" w:rsidP="002945F2">
      <w:pPr>
        <w:pStyle w:val="a4"/>
        <w:spacing w:after="0" w:line="240" w:lineRule="auto"/>
        <w:ind w:left="0" w:firstLine="393"/>
        <w:jc w:val="both"/>
        <w:rPr>
          <w:rFonts w:ascii="Times New Roman" w:hAnsi="Times New Roman" w:cs="Times New Roman"/>
          <w:sz w:val="24"/>
          <w:szCs w:val="24"/>
        </w:rPr>
      </w:pPr>
      <w:r w:rsidRPr="002945F2">
        <w:rPr>
          <w:rFonts w:ascii="Times New Roman" w:hAnsi="Times New Roman" w:cs="Times New Roman"/>
          <w:sz w:val="24"/>
          <w:szCs w:val="24"/>
        </w:rPr>
        <w:t>Реализация инвестиционного проекта «</w:t>
      </w:r>
      <w:r w:rsidRPr="002945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Покупка генератора поискового ГП-500К (с кейсом) Ангстрем 1 шт.</w:t>
      </w:r>
      <w:r w:rsidRPr="002945F2">
        <w:rPr>
          <w:rFonts w:ascii="Times New Roman" w:hAnsi="Times New Roman" w:cs="Times New Roman"/>
          <w:sz w:val="24"/>
          <w:szCs w:val="24"/>
        </w:rPr>
        <w:t>» обусловлена необходимостью поиска точного места повреждения, определения трассы и глубины залегания кабельных линий индукционным и акустическим методом, расположенных в местах, не обладающих транспортной доступностью.</w:t>
      </w:r>
    </w:p>
    <w:p w:rsidR="002945F2" w:rsidRDefault="002945F2" w:rsidP="002945F2">
      <w:pPr>
        <w:pStyle w:val="a4"/>
        <w:spacing w:after="0" w:line="240" w:lineRule="auto"/>
        <w:ind w:left="753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945F2" w:rsidRDefault="00BA7B5F" w:rsidP="00BC27D3">
      <w:pPr>
        <w:pStyle w:val="a4"/>
        <w:numPr>
          <w:ilvl w:val="1"/>
          <w:numId w:val="10"/>
        </w:numPr>
        <w:spacing w:after="0" w:line="240" w:lineRule="auto"/>
        <w:ind w:hanging="327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6" w:name="_Toc169622479"/>
      <w:r>
        <w:rPr>
          <w:rFonts w:ascii="Times New Roman" w:hAnsi="Times New Roman" w:cs="Times New Roman"/>
          <w:b/>
          <w:sz w:val="24"/>
          <w:szCs w:val="24"/>
        </w:rPr>
        <w:t>Реализация мероприятия «</w:t>
      </w:r>
      <w:r w:rsidRPr="001A3C22">
        <w:rPr>
          <w:rFonts w:ascii="Times New Roman" w:hAnsi="Times New Roman" w:cs="Times New Roman"/>
          <w:b/>
          <w:sz w:val="24"/>
          <w:szCs w:val="24"/>
        </w:rPr>
        <w:t xml:space="preserve">Покупка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AA31B7">
        <w:rPr>
          <w:rFonts w:ascii="Times New Roman" w:hAnsi="Times New Roman" w:cs="Times New Roman"/>
          <w:b/>
          <w:sz w:val="24"/>
          <w:szCs w:val="24"/>
        </w:rPr>
        <w:t>отобуксировщик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Pr="00AA31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31B7">
        <w:rPr>
          <w:rFonts w:ascii="Times New Roman" w:hAnsi="Times New Roman" w:cs="Times New Roman"/>
          <w:b/>
          <w:sz w:val="24"/>
          <w:szCs w:val="24"/>
        </w:rPr>
        <w:t>Sharmax</w:t>
      </w:r>
      <w:proofErr w:type="spellEnd"/>
      <w:r w:rsidRPr="00AA31B7">
        <w:rPr>
          <w:rFonts w:ascii="Times New Roman" w:hAnsi="Times New Roman" w:cs="Times New Roman"/>
          <w:b/>
          <w:sz w:val="24"/>
          <w:szCs w:val="24"/>
        </w:rPr>
        <w:t xml:space="preserve"> S500 1450 HP20 </w:t>
      </w:r>
      <w:proofErr w:type="spellStart"/>
      <w:r w:rsidRPr="00AA31B7">
        <w:rPr>
          <w:rFonts w:ascii="Times New Roman" w:hAnsi="Times New Roman" w:cs="Times New Roman"/>
          <w:b/>
          <w:sz w:val="24"/>
          <w:szCs w:val="24"/>
        </w:rPr>
        <w:t>Enduro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 дополнительным оборудованием 2 шт.»</w:t>
      </w:r>
      <w:bookmarkEnd w:id="6"/>
    </w:p>
    <w:p w:rsidR="00BA7B5F" w:rsidRDefault="00BA7B5F" w:rsidP="00BA7B5F">
      <w:pPr>
        <w:pStyle w:val="a4"/>
        <w:spacing w:after="0" w:line="240" w:lineRule="auto"/>
        <w:ind w:left="753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A7B5F" w:rsidRPr="001F1473" w:rsidRDefault="00BA7B5F" w:rsidP="00BA7B5F">
      <w:pPr>
        <w:pStyle w:val="a4"/>
        <w:tabs>
          <w:tab w:val="left" w:pos="31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Реализация мероприятия</w:t>
      </w:r>
      <w:r w:rsidRPr="00AB50B9">
        <w:rPr>
          <w:rFonts w:ascii="Times New Roman" w:hAnsi="Times New Roman" w:cs="Times New Roman"/>
          <w:sz w:val="24"/>
          <w:szCs w:val="24"/>
        </w:rPr>
        <w:t xml:space="preserve"> инвестиционной программы Центрального филиала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B50B9">
        <w:rPr>
          <w:rFonts w:ascii="Times New Roman" w:hAnsi="Times New Roman" w:cs="Times New Roman"/>
          <w:sz w:val="24"/>
          <w:szCs w:val="24"/>
        </w:rPr>
        <w:t>ООО «Газпром энерго»: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473">
        <w:rPr>
          <w:rFonts w:ascii="Times New Roman" w:hAnsi="Times New Roman" w:cs="Times New Roman"/>
          <w:sz w:val="24"/>
          <w:szCs w:val="24"/>
        </w:rPr>
        <w:t>«</w:t>
      </w:r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proofErr w:type="spellStart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мотобуксировщика</w:t>
      </w:r>
      <w:proofErr w:type="spellEnd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Sharmax</w:t>
      </w:r>
      <w:proofErr w:type="spellEnd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S500 1450 HP20 </w:t>
      </w:r>
      <w:proofErr w:type="spellStart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Enduro</w:t>
      </w:r>
      <w:proofErr w:type="spellEnd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дополнительным оборудованием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1F1473">
        <w:rPr>
          <w:rFonts w:ascii="Times New Roman" w:hAnsi="Times New Roman" w:cs="Times New Roman"/>
          <w:sz w:val="24"/>
          <w:szCs w:val="24"/>
        </w:rPr>
        <w:t>направлена на хозяйственное обеспечение текущей производственной деятельности сетевой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в Тульской области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Ефремовского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районов</w:t>
      </w:r>
      <w:r w:rsidRPr="001F1473">
        <w:rPr>
          <w:rFonts w:ascii="Times New Roman" w:hAnsi="Times New Roman" w:cs="Times New Roman"/>
          <w:sz w:val="24"/>
          <w:szCs w:val="24"/>
        </w:rPr>
        <w:t>.</w:t>
      </w:r>
    </w:p>
    <w:p w:rsidR="00BA7B5F" w:rsidRDefault="00BA7B5F" w:rsidP="00BA7B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Реализация инвестиционного проекта «</w:t>
      </w:r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proofErr w:type="spellStart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мотобуксировщика</w:t>
      </w:r>
      <w:proofErr w:type="spellEnd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Sharmax</w:t>
      </w:r>
      <w:proofErr w:type="spellEnd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S500 1450 HP20 </w:t>
      </w:r>
      <w:proofErr w:type="spellStart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Enduro</w:t>
      </w:r>
      <w:proofErr w:type="spellEnd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дополнительным оборудованием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Pr="001F1473">
        <w:rPr>
          <w:rFonts w:ascii="Times New Roman" w:hAnsi="Times New Roman" w:cs="Times New Roman"/>
          <w:sz w:val="24"/>
          <w:szCs w:val="24"/>
        </w:rPr>
        <w:t xml:space="preserve">» обусловлена необходимостью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080D">
        <w:rPr>
          <w:rFonts w:ascii="Times New Roman" w:hAnsi="Times New Roman" w:cs="Times New Roman"/>
          <w:sz w:val="24"/>
          <w:szCs w:val="24"/>
        </w:rPr>
        <w:t>перативно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63080D">
        <w:rPr>
          <w:rFonts w:ascii="Times New Roman" w:hAnsi="Times New Roman" w:cs="Times New Roman"/>
          <w:sz w:val="24"/>
          <w:szCs w:val="24"/>
        </w:rPr>
        <w:t xml:space="preserve"> проведени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3080D">
        <w:rPr>
          <w:rFonts w:ascii="Times New Roman" w:hAnsi="Times New Roman" w:cs="Times New Roman"/>
          <w:sz w:val="24"/>
          <w:szCs w:val="24"/>
        </w:rPr>
        <w:t xml:space="preserve"> низовых осмотров охранных зон закрепленного оборудования: КВЛ и ВЛ 6-10 </w:t>
      </w:r>
      <w:proofErr w:type="spellStart"/>
      <w:r w:rsidRPr="0063080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63080D">
        <w:rPr>
          <w:rFonts w:ascii="Times New Roman" w:hAnsi="Times New Roman" w:cs="Times New Roman"/>
          <w:sz w:val="24"/>
          <w:szCs w:val="24"/>
        </w:rPr>
        <w:t xml:space="preserve"> в соответствии с графиками осмотров, оперативно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63080D">
        <w:rPr>
          <w:rFonts w:ascii="Times New Roman" w:hAnsi="Times New Roman" w:cs="Times New Roman"/>
          <w:sz w:val="24"/>
          <w:szCs w:val="24"/>
        </w:rPr>
        <w:t xml:space="preserve"> проведени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3080D">
        <w:rPr>
          <w:rFonts w:ascii="Times New Roman" w:hAnsi="Times New Roman" w:cs="Times New Roman"/>
          <w:sz w:val="24"/>
          <w:szCs w:val="24"/>
        </w:rPr>
        <w:t xml:space="preserve"> комплекса аварийно-восстановительных работ, в том числе внеплановый осмотр (доставка к месту возникновения оснастки, материально-технических ресурсов, средств индивидуальной защиты), оперативн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63080D">
        <w:rPr>
          <w:rFonts w:ascii="Times New Roman" w:hAnsi="Times New Roman" w:cs="Times New Roman"/>
          <w:sz w:val="24"/>
          <w:szCs w:val="24"/>
        </w:rPr>
        <w:t xml:space="preserve"> доставк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3080D">
        <w:rPr>
          <w:rFonts w:ascii="Times New Roman" w:hAnsi="Times New Roman" w:cs="Times New Roman"/>
          <w:sz w:val="24"/>
          <w:szCs w:val="24"/>
        </w:rPr>
        <w:t xml:space="preserve"> ремонтной бригады к месту проведения работ в условиях ограниченной проходимости в зимний период и сложности ландшафта.</w:t>
      </w:r>
    </w:p>
    <w:p w:rsidR="00892383" w:rsidRDefault="00892383" w:rsidP="008923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состоянию на 01.01.2024 года на территории Тульской области отсутствует автомобильная техника, закрепленная за объектами электросетевого хозяйства Центрального филиала ООО «Газпром энерго». На сегодняшний день у организации существует потребность в специальной технике для ремонта и обслуживания электрических сетей. Приказом Госстроя РФ от 05.09.200 № 200 определено нормативное количество машин и механизмов, которое определяется в соответствии с количеством условных единиц объема работ по электрическим сетям. В соответствии с Протоколом заседания Правления комитета Тульской области по тарифам №45 от 28.11.2023        количество условных единиц на 2024 год составило 839,02 у.е.</w:t>
      </w:r>
    </w:p>
    <w:p w:rsidR="00892383" w:rsidRDefault="00892383" w:rsidP="008923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>Целями инвестиционной программы ООО «Газпром энерго» на 202</w:t>
      </w:r>
      <w:r w:rsidR="004B6894">
        <w:rPr>
          <w:rFonts w:ascii="Times New Roman" w:hAnsi="Times New Roman" w:cs="Times New Roman"/>
          <w:sz w:val="24"/>
          <w:szCs w:val="24"/>
        </w:rPr>
        <w:t>4</w:t>
      </w:r>
      <w:r w:rsidRPr="001F1473">
        <w:rPr>
          <w:rFonts w:ascii="Times New Roman" w:hAnsi="Times New Roman" w:cs="Times New Roman"/>
          <w:sz w:val="24"/>
          <w:szCs w:val="24"/>
        </w:rPr>
        <w:t>-202</w:t>
      </w:r>
      <w:r w:rsidR="004B6894">
        <w:rPr>
          <w:rFonts w:ascii="Times New Roman" w:hAnsi="Times New Roman" w:cs="Times New Roman"/>
          <w:sz w:val="24"/>
          <w:szCs w:val="24"/>
        </w:rPr>
        <w:t>7</w:t>
      </w:r>
      <w:r w:rsidRPr="001F1473">
        <w:rPr>
          <w:rFonts w:ascii="Times New Roman" w:hAnsi="Times New Roman" w:cs="Times New Roman"/>
          <w:sz w:val="24"/>
          <w:szCs w:val="24"/>
        </w:rPr>
        <w:t xml:space="preserve"> гг. по реализации </w:t>
      </w:r>
      <w:r>
        <w:rPr>
          <w:rFonts w:ascii="Times New Roman" w:hAnsi="Times New Roman" w:cs="Times New Roman"/>
          <w:sz w:val="24"/>
          <w:szCs w:val="24"/>
        </w:rPr>
        <w:t xml:space="preserve">инвестиционного проекта </w:t>
      </w:r>
      <w:r w:rsidRPr="001F1473">
        <w:rPr>
          <w:rFonts w:ascii="Times New Roman" w:hAnsi="Times New Roman" w:cs="Times New Roman"/>
          <w:sz w:val="24"/>
          <w:szCs w:val="24"/>
        </w:rPr>
        <w:t>«</w:t>
      </w:r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proofErr w:type="spellStart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мотобуксировщика</w:t>
      </w:r>
      <w:proofErr w:type="spellEnd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Sharmax</w:t>
      </w:r>
      <w:proofErr w:type="spellEnd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S500 1450 HP20 </w:t>
      </w:r>
      <w:proofErr w:type="spellStart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Enduro</w:t>
      </w:r>
      <w:proofErr w:type="spellEnd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дополнительным оборудованием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1F1473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Pr="008F4D27">
        <w:rPr>
          <w:rFonts w:ascii="Times New Roman" w:hAnsi="Times New Roman" w:cs="Times New Roman"/>
          <w:sz w:val="24"/>
          <w:szCs w:val="24"/>
        </w:rPr>
        <w:t>хозяйственное обеспечение деятельности сетевой организации</w:t>
      </w:r>
      <w:r w:rsidRPr="001F1473">
        <w:rPr>
          <w:rFonts w:ascii="Times New Roman" w:hAnsi="Times New Roman" w:cs="Times New Roman"/>
          <w:sz w:val="24"/>
          <w:szCs w:val="24"/>
        </w:rPr>
        <w:t xml:space="preserve"> ООО «Газпром энерго»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Тульской области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Ефремовского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районов</w:t>
      </w:r>
      <w:r w:rsidRPr="001F1473">
        <w:rPr>
          <w:rFonts w:ascii="Times New Roman" w:hAnsi="Times New Roman" w:cs="Times New Roman"/>
          <w:sz w:val="24"/>
          <w:szCs w:val="24"/>
        </w:rPr>
        <w:t>.</w:t>
      </w:r>
    </w:p>
    <w:p w:rsidR="00892383" w:rsidRDefault="00892383" w:rsidP="008923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нормативного количества машин:</w:t>
      </w:r>
    </w:p>
    <w:tbl>
      <w:tblPr>
        <w:tblW w:w="9083" w:type="dxa"/>
        <w:tblInd w:w="113" w:type="dxa"/>
        <w:tblLook w:val="04A0" w:firstRow="1" w:lastRow="0" w:firstColumn="1" w:lastColumn="0" w:noHBand="0" w:noVBand="1"/>
      </w:tblPr>
      <w:tblGrid>
        <w:gridCol w:w="1025"/>
        <w:gridCol w:w="4958"/>
        <w:gridCol w:w="714"/>
        <w:gridCol w:w="1025"/>
        <w:gridCol w:w="1361"/>
      </w:tblGrid>
      <w:tr w:rsidR="00892383" w:rsidRPr="003D3E5C" w:rsidTr="00AE0703">
        <w:trPr>
          <w:trHeight w:val="239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383" w:rsidRPr="003D3E5C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поз по табл. МУ</w:t>
            </w:r>
          </w:p>
        </w:tc>
        <w:tc>
          <w:tcPr>
            <w:tcW w:w="4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383" w:rsidRPr="003D3E5C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машин и механизмов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383" w:rsidRPr="003D3E5C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УЕ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383" w:rsidRPr="003D3E5C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</w:t>
            </w:r>
            <w:proofErr w:type="gramStart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транс-порта</w:t>
            </w:r>
            <w:proofErr w:type="gramEnd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1000 </w:t>
            </w:r>
            <w:proofErr w:type="spellStart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</w:t>
            </w:r>
            <w:proofErr w:type="spellEnd"/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2383" w:rsidRPr="003D3E5C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Нормативное </w:t>
            </w:r>
            <w:proofErr w:type="gramStart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коли-во машин</w:t>
            </w:r>
            <w:proofErr w:type="gramEnd"/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механизмов </w:t>
            </w:r>
          </w:p>
        </w:tc>
      </w:tr>
      <w:tr w:rsidR="00892383" w:rsidRPr="003D3E5C" w:rsidTr="00AE0703">
        <w:trPr>
          <w:trHeight w:val="239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383" w:rsidRPr="003D3E5C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383" w:rsidRPr="003D3E5C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383" w:rsidRPr="003D3E5C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383" w:rsidRPr="003D3E5C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383" w:rsidRPr="003D3E5C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383" w:rsidRPr="00F374F3" w:rsidTr="00AE0703">
        <w:trPr>
          <w:trHeight w:val="327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92383" w:rsidRPr="003D3E5C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92383" w:rsidRPr="003D3E5C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92383" w:rsidRPr="003D3E5C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92383" w:rsidRPr="003D3E5C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92383" w:rsidRPr="003D3E5C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892383" w:rsidRPr="003D3E5C" w:rsidTr="00AE0703">
        <w:trPr>
          <w:trHeight w:val="252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383" w:rsidRPr="003D3E5C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9874F5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Трактор гусеничный          </w:t>
            </w:r>
          </w:p>
          <w:p w:rsidR="00892383" w:rsidRPr="003D3E5C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 сельской местности)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D3E5C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D3E5C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D3E5C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892383" w:rsidRDefault="00892383" w:rsidP="008923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целью удовлетворения потребности организации в машинах и механизмах, необходимых для эксплуатации и ремонта электрический сетей на территории Тульской области планируется приобретение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3C6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отобуксировщик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Pr="003C6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Sharmax</w:t>
      </w:r>
      <w:proofErr w:type="spellEnd"/>
      <w:r w:rsidRPr="003C6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S500 1450 HP20 </w:t>
      </w:r>
      <w:proofErr w:type="spellStart"/>
      <w:r w:rsidRPr="003C6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Enduro</w:t>
      </w:r>
      <w:proofErr w:type="spellEnd"/>
      <w:r w:rsidRPr="003C6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дополнительным оборудованием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количестве – 2 шт. </w:t>
      </w:r>
    </w:p>
    <w:p w:rsidR="00892383" w:rsidRDefault="00892383" w:rsidP="008923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приведена информация о потребности в машинах и механизмах, необходимых для эксплуатации и ремонта электрических сетей Центрального филиала ООО «Газпром энерго» в Тульской области:</w:t>
      </w:r>
    </w:p>
    <w:tbl>
      <w:tblPr>
        <w:tblW w:w="959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567"/>
        <w:gridCol w:w="649"/>
        <w:gridCol w:w="761"/>
        <w:gridCol w:w="574"/>
        <w:gridCol w:w="983"/>
        <w:gridCol w:w="463"/>
        <w:gridCol w:w="539"/>
        <w:gridCol w:w="551"/>
        <w:gridCol w:w="583"/>
        <w:gridCol w:w="425"/>
        <w:gridCol w:w="599"/>
        <w:gridCol w:w="887"/>
        <w:gridCol w:w="463"/>
      </w:tblGrid>
      <w:tr w:rsidR="00892383" w:rsidRPr="00233686" w:rsidTr="00AE0703">
        <w:trPr>
          <w:trHeight w:val="35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машин и механизмов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Норма-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тивное</w:t>
            </w:r>
            <w:proofErr w:type="spellEnd"/>
            <w:proofErr w:type="gram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коли-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чество</w:t>
            </w:r>
            <w:proofErr w:type="spell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машин и меха-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низмов</w:t>
            </w:r>
            <w:proofErr w:type="spell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*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Существующая техника на 01.01.202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техники, планируемой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к приобретению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период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годов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техники, планируемой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к выводу из эксплуатации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период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годов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техники на </w:t>
            </w: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892383" w:rsidRPr="00233686" w:rsidTr="00AE0703">
        <w:trPr>
          <w:trHeight w:val="671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Норма-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тивный</w:t>
            </w:r>
            <w:proofErr w:type="spellEnd"/>
            <w:proofErr w:type="gram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срок службы, лет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выпуска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ремонто-пригод-ность</w:t>
            </w:r>
            <w:proofErr w:type="spellEnd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(да/нет)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A63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</w:tr>
      <w:tr w:rsidR="00892383" w:rsidRPr="00233686" w:rsidTr="00AE0703">
        <w:trPr>
          <w:trHeight w:val="1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892383" w:rsidRPr="00A63A1E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A63A1E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1</w:t>
            </w:r>
          </w:p>
        </w:tc>
      </w:tr>
      <w:tr w:rsidR="00892383" w:rsidRPr="00233686" w:rsidTr="00AE0703">
        <w:trPr>
          <w:trHeight w:val="41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C6C44" w:rsidRDefault="00892383" w:rsidP="00AE0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C6C44">
              <w:rPr>
                <w:rFonts w:ascii="Times New Roman" w:hAnsi="Times New Roman" w:cs="Times New Roman"/>
                <w:sz w:val="16"/>
                <w:szCs w:val="16"/>
              </w:rPr>
              <w:t>Трактор гусеничн</w:t>
            </w:r>
            <w:r w:rsidRPr="003C6C4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ый       </w:t>
            </w:r>
            <w:proofErr w:type="gramStart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3C6C44">
              <w:rPr>
                <w:rFonts w:ascii="Times New Roman" w:hAnsi="Times New Roman" w:cs="Times New Roman"/>
                <w:sz w:val="16"/>
                <w:szCs w:val="16"/>
              </w:rPr>
              <w:br/>
              <w:t>(</w:t>
            </w:r>
            <w:proofErr w:type="gramEnd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>для сельской местности)</w:t>
            </w:r>
          </w:p>
          <w:p w:rsidR="00892383" w:rsidRPr="003C6C44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2383" w:rsidRPr="003C6C44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C6C44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C6C44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C6C44" w:rsidRDefault="00892383" w:rsidP="00AE0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:rsidR="00892383" w:rsidRPr="003C6C44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892383" w:rsidRPr="003C6C44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C6C44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C6C44" w:rsidRDefault="00892383" w:rsidP="00AE0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>Мотобуксировщик</w:t>
            </w:r>
            <w:proofErr w:type="spellEnd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Sharmax</w:t>
            </w:r>
            <w:proofErr w:type="spellEnd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 xml:space="preserve"> S500 1450 HP20 </w:t>
            </w:r>
            <w:proofErr w:type="spellStart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>Enduro</w:t>
            </w:r>
            <w:proofErr w:type="spellEnd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 xml:space="preserve"> с дополнительным оборудованием</w:t>
            </w:r>
          </w:p>
          <w:p w:rsidR="00892383" w:rsidRPr="003C6C44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C6C44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C6C44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C6C44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C6C44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C6C44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C6C44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3C6C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C6C44" w:rsidRDefault="00892383" w:rsidP="00AE0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>Мотобуксировщи</w:t>
            </w:r>
            <w:r w:rsidRPr="003C6C4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</w:t>
            </w:r>
            <w:proofErr w:type="spellEnd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>Sharmax</w:t>
            </w:r>
            <w:proofErr w:type="spellEnd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 xml:space="preserve"> S500 1450 HP20 </w:t>
            </w:r>
            <w:proofErr w:type="spellStart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>Enduro</w:t>
            </w:r>
            <w:proofErr w:type="spellEnd"/>
            <w:r w:rsidRPr="003C6C44">
              <w:rPr>
                <w:rFonts w:ascii="Times New Roman" w:hAnsi="Times New Roman" w:cs="Times New Roman"/>
                <w:sz w:val="16"/>
                <w:szCs w:val="16"/>
              </w:rPr>
              <w:t xml:space="preserve"> с дополнительным оборудованием</w:t>
            </w:r>
          </w:p>
          <w:p w:rsidR="00892383" w:rsidRPr="003C6C44" w:rsidRDefault="00892383" w:rsidP="00AE0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83" w:rsidRPr="003C6C44" w:rsidRDefault="00892383" w:rsidP="00AE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ru-RU"/>
              </w:rPr>
              <w:lastRenderedPageBreak/>
              <w:t>2</w:t>
            </w:r>
          </w:p>
        </w:tc>
      </w:tr>
    </w:tbl>
    <w:p w:rsidR="00892383" w:rsidRPr="001F1473" w:rsidRDefault="00892383" w:rsidP="00BA7B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4E18" w:rsidRPr="00D64E18" w:rsidRDefault="00D64E18" w:rsidP="00D64E18">
      <w:pPr>
        <w:spacing w:after="0" w:line="240" w:lineRule="auto"/>
        <w:ind w:left="3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2857" w:rsidRPr="00A71136" w:rsidRDefault="00192857" w:rsidP="005F3684">
      <w:pPr>
        <w:pStyle w:val="a4"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7" w:name="_Toc169622480"/>
      <w:r w:rsidRPr="00A71136">
        <w:rPr>
          <w:rFonts w:ascii="Times New Roman" w:hAnsi="Times New Roman" w:cs="Times New Roman"/>
          <w:b/>
          <w:sz w:val="24"/>
          <w:szCs w:val="24"/>
        </w:rPr>
        <w:t>Порядок расчета количественных показателей инвестиционной программы (проекта инвестиционной программы)</w:t>
      </w:r>
      <w:bookmarkEnd w:id="7"/>
    </w:p>
    <w:p w:rsidR="00571135" w:rsidRDefault="00192857" w:rsidP="005711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рамках реализации инвестиционного проекта (</w:t>
      </w:r>
      <w:r w:rsidR="00333A29" w:rsidRPr="00A7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L_ПУ23/</w:t>
      </w:r>
      <w:r w:rsidRPr="00A7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3118DD" w:rsidRPr="00A7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A7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Интеллектуальная система учета электроэнергии Центрального филиала ООО "Газпром энерго" в Тульской области</w:t>
      </w:r>
      <w:r w:rsidR="003118DD" w:rsidRPr="00A7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7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установлен количественный показатель о</w:t>
      </w:r>
      <w:r w:rsidRPr="00A71136">
        <w:rPr>
          <w:rFonts w:ascii="Times New Roman" w:hAnsi="Times New Roman" w:cs="Times New Roman"/>
          <w:sz w:val="24"/>
          <w:szCs w:val="24"/>
        </w:rPr>
        <w:t>бъема финансовых потребностей на</w:t>
      </w:r>
      <w:r w:rsidRPr="001F1473">
        <w:rPr>
          <w:rFonts w:ascii="Times New Roman" w:hAnsi="Times New Roman" w:cs="Times New Roman"/>
          <w:sz w:val="24"/>
          <w:szCs w:val="24"/>
        </w:rPr>
        <w:t xml:space="preserve"> </w:t>
      </w:r>
      <w:r w:rsidRPr="00A71136">
        <w:rPr>
          <w:rFonts w:ascii="Times New Roman" w:hAnsi="Times New Roman" w:cs="Times New Roman"/>
          <w:sz w:val="24"/>
          <w:szCs w:val="24"/>
        </w:rPr>
        <w:t>реализацию мероприятий, обусловленных необходимостью выполнения требований законодательства Российской Федерации (</w:t>
      </w:r>
      <w:proofErr w:type="spellStart"/>
      <w:r w:rsidRPr="00A71136">
        <w:rPr>
          <w:rFonts w:ascii="Times New Roman" w:hAnsi="Times New Roman" w:cs="Times New Roman"/>
          <w:sz w:val="24"/>
          <w:szCs w:val="24"/>
        </w:rPr>
        <w:t>Ф</w:t>
      </w:r>
      <w:r w:rsidRPr="00A71136">
        <w:rPr>
          <w:rFonts w:ascii="Times New Roman" w:hAnsi="Times New Roman" w:cs="Times New Roman"/>
          <w:sz w:val="24"/>
          <w:szCs w:val="24"/>
          <w:vertAlign w:val="superscript"/>
        </w:rPr>
        <w:t>тз</w:t>
      </w:r>
      <w:proofErr w:type="spellEnd"/>
      <w:r w:rsidR="007D7CD6" w:rsidRPr="00A71136">
        <w:rPr>
          <w:rFonts w:ascii="Times New Roman" w:hAnsi="Times New Roman" w:cs="Times New Roman"/>
          <w:sz w:val="24"/>
          <w:szCs w:val="24"/>
        </w:rPr>
        <w:t>). О</w:t>
      </w:r>
      <w:r w:rsidRPr="00A71136">
        <w:rPr>
          <w:rFonts w:ascii="Times New Roman" w:hAnsi="Times New Roman" w:cs="Times New Roman"/>
          <w:sz w:val="24"/>
          <w:szCs w:val="24"/>
        </w:rPr>
        <w:t xml:space="preserve">пределяется </w:t>
      </w:r>
      <w:r w:rsidR="007D7CD6" w:rsidRPr="00A71136">
        <w:rPr>
          <w:rFonts w:ascii="Times New Roman" w:hAnsi="Times New Roman" w:cs="Times New Roman"/>
          <w:sz w:val="24"/>
          <w:szCs w:val="24"/>
        </w:rPr>
        <w:t xml:space="preserve">данный показатель </w:t>
      </w:r>
      <w:r w:rsidRPr="00A71136">
        <w:rPr>
          <w:rFonts w:ascii="Times New Roman" w:hAnsi="Times New Roman" w:cs="Times New Roman"/>
          <w:sz w:val="24"/>
          <w:szCs w:val="24"/>
        </w:rPr>
        <w:t>как планируемый объем финансирования в соответствующем плановом (отчетном) пери</w:t>
      </w:r>
      <w:r w:rsidR="007D7CD6" w:rsidRPr="00A71136">
        <w:rPr>
          <w:rFonts w:ascii="Times New Roman" w:hAnsi="Times New Roman" w:cs="Times New Roman"/>
          <w:sz w:val="24"/>
          <w:szCs w:val="24"/>
        </w:rPr>
        <w:t>оде мероприятия, предусмотренного</w:t>
      </w:r>
      <w:r w:rsidRPr="00A71136">
        <w:rPr>
          <w:rFonts w:ascii="Times New Roman" w:hAnsi="Times New Roman" w:cs="Times New Roman"/>
          <w:sz w:val="24"/>
          <w:szCs w:val="24"/>
        </w:rPr>
        <w:t xml:space="preserve"> инвестиционным проектом, реализация которого обусловлена необходимостью выполнения сетевой организацией предусмотренных законодательством Российской Федерации обязательных требований к объектам основных средств, используемых сетевой организацией при осуществлении регулируемых видов деятельности в сфере электроэнергетики.</w:t>
      </w:r>
      <w:r w:rsidR="00142F8C" w:rsidRPr="00A711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135" w:rsidRDefault="003118DD" w:rsidP="00571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Объем финансирования инвестиционного проекта </w:t>
      </w:r>
      <w:r w:rsidRPr="00A7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333A29" w:rsidRPr="00A7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L_ПУ23/</w:t>
      </w:r>
      <w:r w:rsidRPr="00A7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«Интеллектуальная система учета электроэнергии Центрального филиала ООО "Газпром энерго" в Тульской области» </w:t>
      </w:r>
      <w:r w:rsidRPr="00A71136">
        <w:rPr>
          <w:rFonts w:ascii="Times New Roman" w:hAnsi="Times New Roman" w:cs="Times New Roman"/>
          <w:sz w:val="24"/>
          <w:szCs w:val="24"/>
        </w:rPr>
        <w:t xml:space="preserve">обосновывается сметным расчетом, выполненным в соответствии с </w:t>
      </w:r>
      <w:r w:rsidR="00AE0703">
        <w:rPr>
          <w:rFonts w:ascii="Times New Roman" w:hAnsi="Times New Roman" w:cs="Times New Roman"/>
          <w:sz w:val="24"/>
          <w:szCs w:val="24"/>
        </w:rPr>
        <w:t>локальным ресурсным сметным расчетом</w:t>
      </w:r>
      <w:r w:rsidR="009A7CC4" w:rsidRPr="00A71136">
        <w:rPr>
          <w:rFonts w:ascii="Times New Roman" w:hAnsi="Times New Roman" w:cs="Times New Roman"/>
          <w:sz w:val="24"/>
          <w:szCs w:val="24"/>
        </w:rPr>
        <w:t>.</w:t>
      </w:r>
    </w:p>
    <w:p w:rsidR="00B25640" w:rsidRPr="00571135" w:rsidRDefault="00B25640" w:rsidP="00571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рамках реализации инвестиционного проекта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27A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24F86">
        <w:rPr>
          <w:rFonts w:ascii="Times New Roman" w:hAnsi="Times New Roman" w:cs="Times New Roman"/>
          <w:sz w:val="24"/>
          <w:szCs w:val="24"/>
        </w:rPr>
        <w:t>_AVTO/24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24F86">
        <w:rPr>
          <w:rFonts w:ascii="Times New Roman" w:hAnsi="Times New Roman" w:cs="Times New Roman"/>
          <w:sz w:val="24"/>
          <w:szCs w:val="24"/>
        </w:rPr>
        <w:t>Приобретение специализированного грузового автотранспорта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 </w:t>
      </w:r>
      <w:r w:rsidRPr="001F1473">
        <w:rPr>
          <w:rFonts w:ascii="Times New Roman" w:hAnsi="Times New Roman" w:cs="Times New Roman"/>
          <w:sz w:val="24"/>
          <w:szCs w:val="24"/>
        </w:rPr>
        <w:t>показатель объема финансовых потребностей, необходимых для реализации мероприятий, направленных на хозяйственное обеспечение текущей деятельности сетевой организации (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Ф</w:t>
      </w:r>
      <w:r w:rsidRPr="001F1473">
        <w:rPr>
          <w:rFonts w:ascii="Times New Roman" w:hAnsi="Times New Roman" w:cs="Times New Roman"/>
          <w:sz w:val="24"/>
          <w:szCs w:val="24"/>
          <w:vertAlign w:val="superscript"/>
        </w:rPr>
        <w:t>хо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>). Определяется как планируемый (фактический) объем финансирования реализации в соответствующем плановом (отчетном) периоде инвестиционных проектов.</w:t>
      </w:r>
    </w:p>
    <w:p w:rsidR="002474E8" w:rsidRDefault="00B25640" w:rsidP="00546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Объем финансирования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инвестиционного проекта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27A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24F86">
        <w:rPr>
          <w:rFonts w:ascii="Times New Roman" w:hAnsi="Times New Roman" w:cs="Times New Roman"/>
          <w:sz w:val="24"/>
          <w:szCs w:val="24"/>
        </w:rPr>
        <w:t>_AVTO/24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24F86">
        <w:rPr>
          <w:rFonts w:ascii="Times New Roman" w:hAnsi="Times New Roman" w:cs="Times New Roman"/>
          <w:sz w:val="24"/>
          <w:szCs w:val="24"/>
        </w:rPr>
        <w:t>Приобретение специализированного грузового автотранспорта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1F1473">
        <w:rPr>
          <w:rFonts w:ascii="Times New Roman" w:hAnsi="Times New Roman" w:cs="Times New Roman"/>
          <w:sz w:val="24"/>
          <w:szCs w:val="24"/>
        </w:rPr>
        <w:t>определяется в результате проведенного анализа актуальных рыночных цен, предоставлены три коммерческих пред</w:t>
      </w:r>
      <w:r>
        <w:rPr>
          <w:rFonts w:ascii="Times New Roman" w:hAnsi="Times New Roman" w:cs="Times New Roman"/>
          <w:sz w:val="24"/>
          <w:szCs w:val="24"/>
        </w:rPr>
        <w:t>ложения на закупку оборудования.</w:t>
      </w:r>
    </w:p>
    <w:p w:rsidR="00546560" w:rsidRDefault="00546560" w:rsidP="00546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рамках реализации инвестиционного проекта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92857">
        <w:rPr>
          <w:rFonts w:ascii="Times New Roman" w:hAnsi="Times New Roman" w:cs="Times New Roman"/>
          <w:sz w:val="24"/>
          <w:szCs w:val="24"/>
        </w:rPr>
        <w:t>_ОНМ2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92857">
        <w:rPr>
          <w:rFonts w:ascii="Times New Roman" w:hAnsi="Times New Roman" w:cs="Times New Roman"/>
          <w:sz w:val="24"/>
          <w:szCs w:val="24"/>
        </w:rPr>
        <w:t>/1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1473">
        <w:rPr>
          <w:rFonts w:ascii="Times New Roman" w:hAnsi="Times New Roman" w:cs="Times New Roman"/>
          <w:sz w:val="24"/>
          <w:szCs w:val="24"/>
        </w:rPr>
        <w:t>«</w:t>
      </w:r>
      <w:r w:rsidRPr="001F1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генератора поискового ГП-500К (с кейсом) Ангстрем 1 шт.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 </w:t>
      </w:r>
      <w:r w:rsidRPr="001F1473">
        <w:rPr>
          <w:rFonts w:ascii="Times New Roman" w:hAnsi="Times New Roman" w:cs="Times New Roman"/>
          <w:sz w:val="24"/>
          <w:szCs w:val="24"/>
        </w:rPr>
        <w:t>показатель объема финансовых потребностей, необходимых для реализации мероприятий, направленных на хозяйственное обеспечение текущей деятельности сетевой организации (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Ф</w:t>
      </w:r>
      <w:r w:rsidRPr="001F1473">
        <w:rPr>
          <w:rFonts w:ascii="Times New Roman" w:hAnsi="Times New Roman" w:cs="Times New Roman"/>
          <w:sz w:val="24"/>
          <w:szCs w:val="24"/>
          <w:vertAlign w:val="superscript"/>
        </w:rPr>
        <w:t>хо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>). Определяется как планируемый (фактический) объем финансирования реализации в соответствующем плановом (отчетном) периоде инвестиционных проектов.</w:t>
      </w:r>
    </w:p>
    <w:p w:rsidR="00546560" w:rsidRDefault="00546560" w:rsidP="00546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Объем финансирования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инвестиционного проекта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92857">
        <w:rPr>
          <w:rFonts w:ascii="Times New Roman" w:hAnsi="Times New Roman" w:cs="Times New Roman"/>
          <w:sz w:val="24"/>
          <w:szCs w:val="24"/>
        </w:rPr>
        <w:t>_ОНМ2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92857">
        <w:rPr>
          <w:rFonts w:ascii="Times New Roman" w:hAnsi="Times New Roman" w:cs="Times New Roman"/>
          <w:sz w:val="24"/>
          <w:szCs w:val="24"/>
        </w:rPr>
        <w:t>/1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1473">
        <w:rPr>
          <w:rFonts w:ascii="Times New Roman" w:hAnsi="Times New Roman" w:cs="Times New Roman"/>
          <w:sz w:val="24"/>
          <w:szCs w:val="24"/>
        </w:rPr>
        <w:t>«</w:t>
      </w:r>
      <w:r w:rsidRPr="001F1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генератора поискового ГП-500К (с кейсом) Ангстрем 1 шт.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1F1473">
        <w:rPr>
          <w:rFonts w:ascii="Times New Roman" w:hAnsi="Times New Roman" w:cs="Times New Roman"/>
          <w:sz w:val="24"/>
          <w:szCs w:val="24"/>
        </w:rPr>
        <w:t>определ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1F1473">
        <w:rPr>
          <w:rFonts w:ascii="Times New Roman" w:hAnsi="Times New Roman" w:cs="Times New Roman"/>
          <w:sz w:val="24"/>
          <w:szCs w:val="24"/>
        </w:rPr>
        <w:t xml:space="preserve"> в результате проведенного анализа актуальных рыночных цен, предоставлены три коммерческих пред</w:t>
      </w:r>
      <w:r>
        <w:rPr>
          <w:rFonts w:ascii="Times New Roman" w:hAnsi="Times New Roman" w:cs="Times New Roman"/>
          <w:sz w:val="24"/>
          <w:szCs w:val="24"/>
        </w:rPr>
        <w:t>ложений на закупку оборудования.</w:t>
      </w:r>
    </w:p>
    <w:p w:rsidR="00546560" w:rsidRPr="001F1473" w:rsidRDefault="00546560" w:rsidP="00546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рамках реализации инвестиционного проекта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92857">
        <w:rPr>
          <w:rFonts w:ascii="Times New Roman" w:hAnsi="Times New Roman" w:cs="Times New Roman"/>
          <w:sz w:val="24"/>
          <w:szCs w:val="24"/>
        </w:rPr>
        <w:t>_ОНМ2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92857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1473">
        <w:rPr>
          <w:rFonts w:ascii="Times New Roman" w:hAnsi="Times New Roman" w:cs="Times New Roman"/>
          <w:sz w:val="24"/>
          <w:szCs w:val="24"/>
        </w:rPr>
        <w:t>«</w:t>
      </w:r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proofErr w:type="spellStart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мотобуксировщика</w:t>
      </w:r>
      <w:proofErr w:type="spellEnd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Sharmax</w:t>
      </w:r>
      <w:proofErr w:type="spellEnd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S500 1450 HP20 </w:t>
      </w:r>
      <w:proofErr w:type="spellStart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Enduro</w:t>
      </w:r>
      <w:proofErr w:type="spellEnd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дополнительным оборудованием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 </w:t>
      </w:r>
      <w:r w:rsidRPr="001F1473">
        <w:rPr>
          <w:rFonts w:ascii="Times New Roman" w:hAnsi="Times New Roman" w:cs="Times New Roman"/>
          <w:sz w:val="24"/>
          <w:szCs w:val="24"/>
        </w:rPr>
        <w:t xml:space="preserve">показатель объема финансовых потребностей, необходимых для реализации мероприятий, направленных на хозяйственное обеспечение текущей </w:t>
      </w:r>
      <w:r w:rsidRPr="001F1473">
        <w:rPr>
          <w:rFonts w:ascii="Times New Roman" w:hAnsi="Times New Roman" w:cs="Times New Roman"/>
          <w:sz w:val="24"/>
          <w:szCs w:val="24"/>
        </w:rPr>
        <w:lastRenderedPageBreak/>
        <w:t>деятельности сетевой организации (</w:t>
      </w:r>
      <w:proofErr w:type="spellStart"/>
      <w:r w:rsidRPr="001F1473">
        <w:rPr>
          <w:rFonts w:ascii="Times New Roman" w:hAnsi="Times New Roman" w:cs="Times New Roman"/>
          <w:sz w:val="24"/>
          <w:szCs w:val="24"/>
        </w:rPr>
        <w:t>Ф</w:t>
      </w:r>
      <w:r w:rsidRPr="001F1473">
        <w:rPr>
          <w:rFonts w:ascii="Times New Roman" w:hAnsi="Times New Roman" w:cs="Times New Roman"/>
          <w:sz w:val="24"/>
          <w:szCs w:val="24"/>
          <w:vertAlign w:val="superscript"/>
        </w:rPr>
        <w:t>хо</w:t>
      </w:r>
      <w:proofErr w:type="spellEnd"/>
      <w:r w:rsidRPr="001F1473">
        <w:rPr>
          <w:rFonts w:ascii="Times New Roman" w:hAnsi="Times New Roman" w:cs="Times New Roman"/>
          <w:sz w:val="24"/>
          <w:szCs w:val="24"/>
        </w:rPr>
        <w:t>). Определяется как планируемый (фактический) объем финансирования реализации в соответствующем плановом (отчетном) периоде инвестиционных проектов.</w:t>
      </w:r>
    </w:p>
    <w:p w:rsidR="00546560" w:rsidRDefault="00546560" w:rsidP="005465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473">
        <w:rPr>
          <w:rFonts w:ascii="Times New Roman" w:hAnsi="Times New Roman" w:cs="Times New Roman"/>
          <w:sz w:val="24"/>
          <w:szCs w:val="24"/>
        </w:rPr>
        <w:t xml:space="preserve">Объем финансирования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инвестиционного проекта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92857">
        <w:rPr>
          <w:rFonts w:ascii="Times New Roman" w:hAnsi="Times New Roman" w:cs="Times New Roman"/>
          <w:sz w:val="24"/>
          <w:szCs w:val="24"/>
        </w:rPr>
        <w:t>_ОНМ2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92857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F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1473">
        <w:rPr>
          <w:rFonts w:ascii="Times New Roman" w:hAnsi="Times New Roman" w:cs="Times New Roman"/>
          <w:sz w:val="24"/>
          <w:szCs w:val="24"/>
        </w:rPr>
        <w:t>«</w:t>
      </w:r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 </w:t>
      </w:r>
      <w:proofErr w:type="spellStart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мотобуксировщика</w:t>
      </w:r>
      <w:proofErr w:type="spellEnd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Sharmax</w:t>
      </w:r>
      <w:proofErr w:type="spellEnd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S500 1450 HP20 </w:t>
      </w:r>
      <w:proofErr w:type="spellStart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>Enduro</w:t>
      </w:r>
      <w:proofErr w:type="spellEnd"/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дополнительным оборудованием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3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4A4DD5">
        <w:rPr>
          <w:rFonts w:ascii="Times New Roman" w:hAnsi="Times New Roman" w:cs="Times New Roman"/>
          <w:sz w:val="24"/>
          <w:szCs w:val="24"/>
        </w:rPr>
        <w:t>определен в результате проведенного анализа актуальных рыночных цен, предоставлены три коммерческих предложений на закупку оборудования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6560" w:rsidRPr="001F1473" w:rsidRDefault="00546560" w:rsidP="00546560">
      <w:pPr>
        <w:autoSpaceDE w:val="0"/>
        <w:autoSpaceDN w:val="0"/>
        <w:adjustRightInd w:val="0"/>
        <w:spacing w:after="0" w:line="240" w:lineRule="auto"/>
        <w:ind w:firstLine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6560" w:rsidRPr="00A71136" w:rsidRDefault="00546560" w:rsidP="00B256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474E8" w:rsidRPr="00A71136" w:rsidRDefault="002474E8" w:rsidP="005F36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40ED2" w:rsidRPr="00A71136" w:rsidRDefault="00240ED2" w:rsidP="005F368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C762E" w:rsidRPr="00A71136" w:rsidRDefault="00F56413" w:rsidP="006C762E">
      <w:pPr>
        <w:pStyle w:val="a4"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8" w:name="_Toc169622481"/>
      <w:r w:rsidRPr="00A71136">
        <w:rPr>
          <w:rFonts w:ascii="Times New Roman" w:hAnsi="Times New Roman" w:cs="Times New Roman"/>
          <w:b/>
          <w:sz w:val="24"/>
          <w:szCs w:val="24"/>
        </w:rPr>
        <w:t>И</w:t>
      </w:r>
      <w:r w:rsidR="006C762E" w:rsidRPr="00A71136">
        <w:rPr>
          <w:rFonts w:ascii="Times New Roman" w:hAnsi="Times New Roman" w:cs="Times New Roman"/>
          <w:b/>
          <w:sz w:val="24"/>
          <w:szCs w:val="24"/>
        </w:rPr>
        <w:t>нформация, указанная в абзацах 12-18 стандартов раскрытия информации субъектами оптового и розничных рынков электрической энергии</w:t>
      </w:r>
      <w:bookmarkEnd w:id="8"/>
    </w:p>
    <w:p w:rsidR="006C762E" w:rsidRPr="00A71136" w:rsidRDefault="006C762E" w:rsidP="006C76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6CC" w:rsidRPr="00A71136" w:rsidRDefault="00240ED2" w:rsidP="009A7CC4">
      <w:pPr>
        <w:spacing w:after="0" w:line="240" w:lineRule="auto"/>
        <w:ind w:firstLine="393"/>
        <w:jc w:val="both"/>
        <w:rPr>
          <w:rFonts w:ascii="Times New Roman" w:hAnsi="Times New Roman" w:cs="Times New Roman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Информация, указанная в абзацах 12-18 стандартов раскрытия информации субъектами оптового и розничных рынков электрической энергии в соответствии с </w:t>
      </w:r>
      <w:r w:rsidRPr="00A71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Постановлением  Правительства РФ от 21 января 2004 г. N 24 "Об утверждении стандартов раскрытия информации субъектами оптового и розничных рынков электрической энергии" размещена  на официальной сайте ООО «Газпром энерго» </w:t>
      </w:r>
      <w:hyperlink r:id="rId11" w:history="1">
        <w:r w:rsidRPr="00A71136">
          <w:rPr>
            <w:rStyle w:val="a6"/>
            <w:rFonts w:ascii="Times New Roman" w:hAnsi="Times New Roman" w:cs="Times New Roman"/>
            <w:lang w:eastAsia="ru-RU"/>
          </w:rPr>
          <w:t>www.gazpromenergo.gazprom.ru</w:t>
        </w:r>
      </w:hyperlink>
      <w:r w:rsidR="007646CC" w:rsidRPr="00A71136">
        <w:rPr>
          <w:rFonts w:ascii="Times New Roman" w:hAnsi="Times New Roman" w:cs="Times New Roman"/>
          <w:lang w:eastAsia="ru-RU"/>
        </w:rPr>
        <w:t xml:space="preserve">, </w:t>
      </w:r>
      <w:hyperlink r:id="rId12" w:history="1">
        <w:r w:rsidR="007646CC" w:rsidRPr="00A71136">
          <w:rPr>
            <w:rStyle w:val="a6"/>
            <w:rFonts w:ascii="Times New Roman" w:hAnsi="Times New Roman" w:cs="Times New Roman"/>
          </w:rPr>
          <w:t>https://gazpromenergo.gazprom.ru/investors/1/</w:t>
        </w:r>
      </w:hyperlink>
    </w:p>
    <w:p w:rsidR="006C762E" w:rsidRPr="00A71136" w:rsidRDefault="006C762E" w:rsidP="009A7CC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1473" w:rsidRPr="00A71136" w:rsidRDefault="00142F8C" w:rsidP="005F3684">
      <w:pPr>
        <w:pStyle w:val="a4"/>
        <w:numPr>
          <w:ilvl w:val="0"/>
          <w:numId w:val="10"/>
        </w:numPr>
        <w:tabs>
          <w:tab w:val="left" w:pos="1418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9" w:name="_Toc169622482"/>
      <w:r w:rsidRPr="00A71136">
        <w:rPr>
          <w:rFonts w:ascii="Times New Roman" w:hAnsi="Times New Roman" w:cs="Times New Roman"/>
          <w:b/>
          <w:sz w:val="24"/>
          <w:szCs w:val="24"/>
        </w:rPr>
        <w:t>Заключение о целях и результатах выполнения инвестиционных проектов</w:t>
      </w:r>
      <w:bookmarkEnd w:id="9"/>
    </w:p>
    <w:p w:rsidR="00D91956" w:rsidRPr="00A71136" w:rsidRDefault="003B698E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894">
        <w:rPr>
          <w:rFonts w:ascii="Times New Roman" w:hAnsi="Times New Roman" w:cs="Times New Roman"/>
          <w:sz w:val="24"/>
          <w:szCs w:val="24"/>
        </w:rPr>
        <w:t>Целями инвестиционной программы ООО «Газпром энерго» на 20</w:t>
      </w:r>
      <w:r w:rsidR="0051047B" w:rsidRPr="004B6894">
        <w:rPr>
          <w:rFonts w:ascii="Times New Roman" w:hAnsi="Times New Roman" w:cs="Times New Roman"/>
          <w:sz w:val="24"/>
          <w:szCs w:val="24"/>
        </w:rPr>
        <w:t>2</w:t>
      </w:r>
      <w:r w:rsidR="004B6894" w:rsidRPr="004B6894">
        <w:rPr>
          <w:rFonts w:ascii="Times New Roman" w:hAnsi="Times New Roman" w:cs="Times New Roman"/>
          <w:sz w:val="24"/>
          <w:szCs w:val="24"/>
        </w:rPr>
        <w:t>4</w:t>
      </w:r>
      <w:r w:rsidRPr="004B6894">
        <w:rPr>
          <w:rFonts w:ascii="Times New Roman" w:hAnsi="Times New Roman" w:cs="Times New Roman"/>
          <w:sz w:val="24"/>
          <w:szCs w:val="24"/>
        </w:rPr>
        <w:t>-202</w:t>
      </w:r>
      <w:r w:rsidR="004B6894" w:rsidRPr="004B6894">
        <w:rPr>
          <w:rFonts w:ascii="Times New Roman" w:hAnsi="Times New Roman" w:cs="Times New Roman"/>
          <w:sz w:val="24"/>
          <w:szCs w:val="24"/>
        </w:rPr>
        <w:t>7</w:t>
      </w:r>
      <w:r w:rsidRPr="004B6894">
        <w:rPr>
          <w:rFonts w:ascii="Times New Roman" w:hAnsi="Times New Roman" w:cs="Times New Roman"/>
          <w:sz w:val="24"/>
          <w:szCs w:val="24"/>
        </w:rPr>
        <w:t xml:space="preserve"> гг. </w:t>
      </w:r>
      <w:r w:rsidR="0051047B" w:rsidRPr="004B6894">
        <w:rPr>
          <w:rFonts w:ascii="Times New Roman" w:hAnsi="Times New Roman" w:cs="Times New Roman"/>
          <w:sz w:val="24"/>
          <w:szCs w:val="24"/>
        </w:rPr>
        <w:t>по реализации инвестиционных проектов</w:t>
      </w:r>
      <w:r w:rsidR="00B4783E" w:rsidRPr="004B6894">
        <w:rPr>
          <w:rFonts w:ascii="Times New Roman" w:hAnsi="Times New Roman" w:cs="Times New Roman"/>
          <w:sz w:val="24"/>
          <w:szCs w:val="24"/>
        </w:rPr>
        <w:t xml:space="preserve"> </w:t>
      </w:r>
      <w:r w:rsidR="0051047B" w:rsidRPr="004B6894">
        <w:rPr>
          <w:rFonts w:ascii="Times New Roman" w:hAnsi="Times New Roman" w:cs="Times New Roman"/>
          <w:sz w:val="24"/>
          <w:szCs w:val="24"/>
        </w:rPr>
        <w:t xml:space="preserve">«Интеллектуальная система учета электроэнергии Центрального филиала ООО "Газпром энерго" в </w:t>
      </w:r>
      <w:r w:rsidR="00483C9B" w:rsidRPr="004B6894">
        <w:rPr>
          <w:rFonts w:ascii="Times New Roman" w:hAnsi="Times New Roman" w:cs="Times New Roman"/>
          <w:sz w:val="24"/>
          <w:szCs w:val="24"/>
        </w:rPr>
        <w:t>Тульской</w:t>
      </w:r>
      <w:r w:rsidR="0051047B" w:rsidRPr="004B6894">
        <w:rPr>
          <w:rFonts w:ascii="Times New Roman" w:hAnsi="Times New Roman" w:cs="Times New Roman"/>
          <w:sz w:val="24"/>
          <w:szCs w:val="24"/>
        </w:rPr>
        <w:t xml:space="preserve"> области»</w:t>
      </w:r>
      <w:r w:rsidR="00B25640" w:rsidRPr="004B6894">
        <w:rPr>
          <w:rFonts w:ascii="Times New Roman" w:hAnsi="Times New Roman" w:cs="Times New Roman"/>
          <w:sz w:val="24"/>
          <w:szCs w:val="24"/>
        </w:rPr>
        <w:t>, «Приобретение специализированного грузового автотранспорта»</w:t>
      </w:r>
      <w:r w:rsidR="004B6894" w:rsidRPr="004B6894">
        <w:rPr>
          <w:rFonts w:ascii="Times New Roman" w:hAnsi="Times New Roman" w:cs="Times New Roman"/>
          <w:sz w:val="24"/>
          <w:szCs w:val="24"/>
        </w:rPr>
        <w:t xml:space="preserve">, «Покупка генератора поискового ГП-500К (с кейсом) Ангстрем 1 шт.», «Покупка </w:t>
      </w:r>
      <w:proofErr w:type="spellStart"/>
      <w:r w:rsidR="004B6894" w:rsidRPr="004B6894">
        <w:rPr>
          <w:rFonts w:ascii="Times New Roman" w:hAnsi="Times New Roman" w:cs="Times New Roman"/>
          <w:sz w:val="24"/>
          <w:szCs w:val="24"/>
        </w:rPr>
        <w:t>мотобуксировщика</w:t>
      </w:r>
      <w:proofErr w:type="spellEnd"/>
      <w:r w:rsidR="004B6894" w:rsidRPr="004B6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894" w:rsidRPr="004B6894">
        <w:rPr>
          <w:rFonts w:ascii="Times New Roman" w:hAnsi="Times New Roman" w:cs="Times New Roman"/>
          <w:sz w:val="24"/>
          <w:szCs w:val="24"/>
        </w:rPr>
        <w:t>Sharmax</w:t>
      </w:r>
      <w:proofErr w:type="spellEnd"/>
      <w:r w:rsidR="004B6894" w:rsidRPr="004B6894">
        <w:rPr>
          <w:rFonts w:ascii="Times New Roman" w:hAnsi="Times New Roman" w:cs="Times New Roman"/>
          <w:sz w:val="24"/>
          <w:szCs w:val="24"/>
        </w:rPr>
        <w:t xml:space="preserve"> S500 1450 HP20 </w:t>
      </w:r>
      <w:proofErr w:type="spellStart"/>
      <w:r w:rsidR="004B6894" w:rsidRPr="004B6894">
        <w:rPr>
          <w:rFonts w:ascii="Times New Roman" w:hAnsi="Times New Roman" w:cs="Times New Roman"/>
          <w:sz w:val="24"/>
          <w:szCs w:val="24"/>
        </w:rPr>
        <w:t>Enduro</w:t>
      </w:r>
      <w:proofErr w:type="spellEnd"/>
      <w:r w:rsidR="004B6894" w:rsidRPr="004B6894">
        <w:rPr>
          <w:rFonts w:ascii="Times New Roman" w:hAnsi="Times New Roman" w:cs="Times New Roman"/>
          <w:sz w:val="24"/>
          <w:szCs w:val="24"/>
        </w:rPr>
        <w:t xml:space="preserve"> с дополнительным оборудованием 2 шт.»</w:t>
      </w:r>
      <w:r w:rsidR="00B25640" w:rsidRPr="004B6894">
        <w:rPr>
          <w:rFonts w:ascii="Times New Roman" w:hAnsi="Times New Roman" w:cs="Times New Roman"/>
          <w:sz w:val="24"/>
          <w:szCs w:val="24"/>
        </w:rPr>
        <w:t xml:space="preserve"> </w:t>
      </w:r>
      <w:r w:rsidR="0051047B" w:rsidRPr="004B6894">
        <w:rPr>
          <w:rFonts w:ascii="Times New Roman" w:hAnsi="Times New Roman" w:cs="Times New Roman"/>
          <w:sz w:val="24"/>
          <w:szCs w:val="24"/>
        </w:rPr>
        <w:t>является соблюдение требований действующего законодательства РФ</w:t>
      </w:r>
      <w:r w:rsidR="00483C9B" w:rsidRPr="004B6894">
        <w:rPr>
          <w:rFonts w:ascii="Times New Roman" w:hAnsi="Times New Roman" w:cs="Times New Roman"/>
          <w:sz w:val="24"/>
          <w:szCs w:val="24"/>
        </w:rPr>
        <w:t>, а также обеспечение текущей деятельности в сфере электроэнерг</w:t>
      </w:r>
      <w:r w:rsidR="00142F8C" w:rsidRPr="004B6894">
        <w:rPr>
          <w:rFonts w:ascii="Times New Roman" w:hAnsi="Times New Roman" w:cs="Times New Roman"/>
          <w:sz w:val="24"/>
          <w:szCs w:val="24"/>
        </w:rPr>
        <w:t>етики, в том числе хозяйственно-производственное</w:t>
      </w:r>
      <w:r w:rsidR="00483C9B" w:rsidRPr="004B6894">
        <w:rPr>
          <w:rFonts w:ascii="Times New Roman" w:hAnsi="Times New Roman" w:cs="Times New Roman"/>
          <w:sz w:val="24"/>
          <w:szCs w:val="24"/>
        </w:rPr>
        <w:t xml:space="preserve"> обеспечение деятельности ООО «Газпром энерго».</w:t>
      </w:r>
    </w:p>
    <w:p w:rsidR="00142F8C" w:rsidRPr="00A71136" w:rsidRDefault="00546560" w:rsidP="005F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проектов и</w:t>
      </w:r>
      <w:r w:rsidR="00142F8C" w:rsidRPr="00A71136">
        <w:rPr>
          <w:rFonts w:ascii="Times New Roman" w:hAnsi="Times New Roman" w:cs="Times New Roman"/>
          <w:sz w:val="24"/>
          <w:szCs w:val="24"/>
        </w:rPr>
        <w:t>нвестиционной программы 202</w:t>
      </w:r>
      <w:r w:rsidR="004B6894">
        <w:rPr>
          <w:rFonts w:ascii="Times New Roman" w:hAnsi="Times New Roman" w:cs="Times New Roman"/>
          <w:sz w:val="24"/>
          <w:szCs w:val="24"/>
        </w:rPr>
        <w:t>4</w:t>
      </w:r>
      <w:r w:rsidR="00142F8C" w:rsidRPr="00A71136">
        <w:rPr>
          <w:rFonts w:ascii="Times New Roman" w:hAnsi="Times New Roman" w:cs="Times New Roman"/>
          <w:sz w:val="24"/>
          <w:szCs w:val="24"/>
        </w:rPr>
        <w:t>-202</w:t>
      </w:r>
      <w:r w:rsidR="004B6894">
        <w:rPr>
          <w:rFonts w:ascii="Times New Roman" w:hAnsi="Times New Roman" w:cs="Times New Roman"/>
          <w:sz w:val="24"/>
          <w:szCs w:val="24"/>
        </w:rPr>
        <w:t>7</w:t>
      </w:r>
      <w:r w:rsidR="00142F8C" w:rsidRPr="00A71136">
        <w:rPr>
          <w:rFonts w:ascii="Times New Roman" w:hAnsi="Times New Roman" w:cs="Times New Roman"/>
          <w:sz w:val="24"/>
          <w:szCs w:val="24"/>
        </w:rPr>
        <w:t xml:space="preserve"> гг. направлена на приведение существующей системы учета электроэнергии к требованиям законодательства РФ, обеспечение информационной и хозяйственной деятельности организации посредством создания Интеллектуальной системы учета электроэнергии, приобретения оборудования для осуществления производственной деятельности в следующих объемах:</w:t>
      </w:r>
    </w:p>
    <w:tbl>
      <w:tblPr>
        <w:tblW w:w="961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1"/>
        <w:gridCol w:w="2484"/>
        <w:gridCol w:w="1790"/>
        <w:gridCol w:w="1770"/>
        <w:gridCol w:w="1490"/>
        <w:gridCol w:w="1524"/>
      </w:tblGrid>
      <w:tr w:rsidR="00D2209C" w:rsidRPr="001F1473" w:rsidTr="00546560">
        <w:trPr>
          <w:trHeight w:val="6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9C" w:rsidRPr="00CE344A" w:rsidRDefault="00D2209C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2209C" w:rsidRPr="00CE344A" w:rsidRDefault="00D2209C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09C" w:rsidRPr="00CE344A" w:rsidRDefault="00D2209C" w:rsidP="0033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  <w:proofErr w:type="spellStart"/>
            <w:r w:rsidRPr="00CE344A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>Наименование</w:t>
            </w:r>
            <w:proofErr w:type="spellEnd"/>
            <w:r w:rsidRPr="00CE344A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 xml:space="preserve"> </w:t>
            </w:r>
            <w:r w:rsidRPr="00CE344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инвестиционного </w:t>
            </w:r>
            <w:proofErr w:type="spellStart"/>
            <w:r w:rsidRPr="00CE344A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>проекта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09C" w:rsidRPr="00CE344A" w:rsidRDefault="00D2209C" w:rsidP="00333A29">
            <w:pPr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 w:rsidRPr="00CE3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Идентификатор инвестиционного проекта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09C" w:rsidRPr="00CE344A" w:rsidRDefault="00FC4996" w:rsidP="0033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и</w:t>
            </w:r>
            <w:r w:rsidR="00D2209C" w:rsidRPr="00CE344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нвестиционной</w:t>
            </w:r>
            <w:proofErr w:type="spellEnd"/>
            <w:r w:rsidR="00D2209C" w:rsidRPr="00CE344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 w:rsidR="00D2209C" w:rsidRPr="00CE344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программе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09C" w:rsidRPr="00CE344A" w:rsidRDefault="00D2209C" w:rsidP="0033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 w:rsidRPr="00CE344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09C" w:rsidRPr="00CE344A" w:rsidRDefault="00D2209C" w:rsidP="007F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 w:rsidRPr="00CE344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Полная стоимость проекта в ценах года реализации ИП, млн.</w:t>
            </w:r>
            <w:r w:rsidR="008E01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CE344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руб. </w:t>
            </w:r>
            <w:r w:rsidR="007F150E" w:rsidRPr="00CE344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с </w:t>
            </w:r>
            <w:r w:rsidRPr="00CE344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НДС</w:t>
            </w:r>
          </w:p>
        </w:tc>
      </w:tr>
      <w:tr w:rsidR="00D2209C" w:rsidRPr="001F1473" w:rsidTr="00EC2918">
        <w:trPr>
          <w:trHeight w:val="101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09C" w:rsidRPr="00EC2918" w:rsidRDefault="00D2209C" w:rsidP="005F3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09C" w:rsidRPr="00EC2918" w:rsidRDefault="00D2209C" w:rsidP="00333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918">
              <w:rPr>
                <w:rFonts w:ascii="Times New Roman" w:hAnsi="Times New Roman" w:cs="Times New Roman"/>
                <w:sz w:val="20"/>
                <w:szCs w:val="20"/>
              </w:rPr>
              <w:t>Интеллектуальная система учета электроэнергии Центрального филиала ООО "Газпром энерго»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09C" w:rsidRPr="00EC2918" w:rsidRDefault="00D2209C" w:rsidP="005F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918">
              <w:rPr>
                <w:rFonts w:ascii="Times New Roman" w:hAnsi="Times New Roman" w:cs="Times New Roman"/>
                <w:sz w:val="20"/>
                <w:szCs w:val="20"/>
              </w:rPr>
              <w:t>L_ПУ23/1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09C" w:rsidRPr="00EC2918" w:rsidRDefault="00546560" w:rsidP="00550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9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503EC" w:rsidRPr="00EC29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2209C" w:rsidRPr="00EC2918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09C" w:rsidRPr="00EC2918" w:rsidRDefault="00E07F99" w:rsidP="00247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9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46560" w:rsidRPr="00EC29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560" w:rsidRPr="00EC2918" w:rsidRDefault="00E07F99" w:rsidP="00C44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918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="00546560" w:rsidRPr="00EC2918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4B6894" w:rsidRPr="00EC2918">
              <w:rPr>
                <w:rFonts w:ascii="Times New Roman" w:hAnsi="Times New Roman" w:cs="Times New Roman"/>
                <w:sz w:val="20"/>
                <w:szCs w:val="20"/>
              </w:rPr>
              <w:t>371699</w:t>
            </w:r>
          </w:p>
          <w:p w:rsidR="00C44A03" w:rsidRPr="00EC2918" w:rsidRDefault="00826EF5" w:rsidP="00C44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918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="00E07F99" w:rsidRPr="00EC2918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E07F99" w:rsidRPr="00EC291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2209C" w:rsidRPr="00EC2918" w:rsidRDefault="00E07F99" w:rsidP="00EC29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918">
              <w:rPr>
                <w:rFonts w:ascii="Times New Roman" w:hAnsi="Times New Roman" w:cs="Times New Roman"/>
                <w:sz w:val="20"/>
                <w:szCs w:val="20"/>
              </w:rPr>
              <w:t xml:space="preserve">ПИР </w:t>
            </w:r>
            <w:r w:rsidR="00826EF5" w:rsidRPr="00EC29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C291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46560" w:rsidRPr="00EC2918">
              <w:rPr>
                <w:rFonts w:ascii="Times New Roman" w:hAnsi="Times New Roman" w:cs="Times New Roman"/>
                <w:sz w:val="20"/>
                <w:szCs w:val="20"/>
              </w:rPr>
              <w:t>495893</w:t>
            </w:r>
            <w:r w:rsidRPr="00EC291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826EF5" w:rsidRPr="00EC291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2918">
              <w:rPr>
                <w:rFonts w:ascii="Times New Roman" w:hAnsi="Times New Roman" w:cs="Times New Roman"/>
                <w:sz w:val="20"/>
                <w:szCs w:val="20"/>
              </w:rPr>
              <w:t xml:space="preserve">СМР </w:t>
            </w:r>
            <w:r w:rsidR="00EC2918" w:rsidRPr="00EC2918">
              <w:rPr>
                <w:rFonts w:ascii="Times New Roman" w:hAnsi="Times New Roman" w:cs="Times New Roman"/>
                <w:sz w:val="20"/>
                <w:szCs w:val="20"/>
              </w:rPr>
              <w:t>0,395003</w:t>
            </w:r>
          </w:p>
        </w:tc>
      </w:tr>
      <w:tr w:rsidR="002474E8" w:rsidRPr="001F1473" w:rsidTr="00546560">
        <w:trPr>
          <w:trHeight w:val="132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4E8" w:rsidRPr="00CE344A" w:rsidRDefault="00571135" w:rsidP="00E4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4E8" w:rsidRPr="00CE344A" w:rsidRDefault="002474E8" w:rsidP="00E479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4E8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специализированного грузового автотранспорта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4E8" w:rsidRPr="00CE344A" w:rsidRDefault="00AC27AC" w:rsidP="00E47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="002474E8" w:rsidRPr="002474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_AVTO/24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E8" w:rsidRPr="00CE344A" w:rsidRDefault="002474E8" w:rsidP="00E47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4E8" w:rsidRPr="00CE344A" w:rsidRDefault="002474E8" w:rsidP="00E4790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4E8" w:rsidRPr="00CE344A" w:rsidRDefault="000F1406" w:rsidP="008E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21,828</w:t>
            </w:r>
            <w:r w:rsidR="0054656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546560" w:rsidRPr="001F1473" w:rsidTr="00546560">
        <w:trPr>
          <w:trHeight w:val="132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60" w:rsidRDefault="00571135" w:rsidP="00E4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560" w:rsidRPr="002474E8" w:rsidRDefault="00546560" w:rsidP="00E479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249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Покупка генератора поискового ГП-500К (с кейсом) Ангстрем 1 шт.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560" w:rsidRDefault="00546560" w:rsidP="00E47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2857">
              <w:rPr>
                <w:rFonts w:ascii="Times New Roman" w:hAnsi="Times New Roman" w:cs="Times New Roman"/>
                <w:sz w:val="24"/>
                <w:szCs w:val="24"/>
              </w:rPr>
              <w:t>_ОНМ2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2857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560" w:rsidRDefault="00546560" w:rsidP="00E47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560" w:rsidRDefault="00546560" w:rsidP="00E4790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560" w:rsidRDefault="00546560" w:rsidP="000F14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0F1406">
              <w:rPr>
                <w:rFonts w:ascii="Times New Roman" w:hAnsi="Times New Roman" w:cs="Times New Roman"/>
                <w:sz w:val="20"/>
                <w:szCs w:val="20"/>
              </w:rPr>
              <w:t>437005</w:t>
            </w:r>
          </w:p>
        </w:tc>
      </w:tr>
      <w:tr w:rsidR="00546560" w:rsidRPr="001F1473" w:rsidTr="00546560">
        <w:trPr>
          <w:trHeight w:val="132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60" w:rsidRDefault="00571135" w:rsidP="00E4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560" w:rsidRPr="002474E8" w:rsidRDefault="00546560" w:rsidP="00E479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60">
              <w:rPr>
                <w:rFonts w:ascii="Times New Roman" w:hAnsi="Times New Roman" w:cs="Times New Roman"/>
                <w:sz w:val="20"/>
                <w:szCs w:val="20"/>
              </w:rPr>
              <w:t xml:space="preserve">Покупка </w:t>
            </w:r>
            <w:proofErr w:type="spellStart"/>
            <w:r w:rsidRPr="00546560">
              <w:rPr>
                <w:rFonts w:ascii="Times New Roman" w:hAnsi="Times New Roman" w:cs="Times New Roman"/>
                <w:sz w:val="20"/>
                <w:szCs w:val="20"/>
              </w:rPr>
              <w:t>мотобуксировщика</w:t>
            </w:r>
            <w:proofErr w:type="spellEnd"/>
            <w:r w:rsidRPr="005465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6560">
              <w:rPr>
                <w:rFonts w:ascii="Times New Roman" w:hAnsi="Times New Roman" w:cs="Times New Roman"/>
                <w:sz w:val="20"/>
                <w:szCs w:val="20"/>
              </w:rPr>
              <w:t>Sharmax</w:t>
            </w:r>
            <w:proofErr w:type="spellEnd"/>
            <w:r w:rsidRPr="00546560">
              <w:rPr>
                <w:rFonts w:ascii="Times New Roman" w:hAnsi="Times New Roman" w:cs="Times New Roman"/>
                <w:sz w:val="20"/>
                <w:szCs w:val="20"/>
              </w:rPr>
              <w:t xml:space="preserve"> S500 1450 HP20 </w:t>
            </w:r>
            <w:proofErr w:type="spellStart"/>
            <w:r w:rsidRPr="005465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Enduro</w:t>
            </w:r>
            <w:proofErr w:type="spellEnd"/>
            <w:r w:rsidRPr="00546560">
              <w:rPr>
                <w:rFonts w:ascii="Times New Roman" w:hAnsi="Times New Roman" w:cs="Times New Roman"/>
                <w:sz w:val="20"/>
                <w:szCs w:val="20"/>
              </w:rPr>
              <w:t xml:space="preserve"> с дополнительным оборудованием 2 шт.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560" w:rsidRPr="00546560" w:rsidRDefault="00546560" w:rsidP="00E47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192857">
              <w:rPr>
                <w:rFonts w:ascii="Times New Roman" w:hAnsi="Times New Roman" w:cs="Times New Roman"/>
                <w:sz w:val="24"/>
                <w:szCs w:val="24"/>
              </w:rPr>
              <w:t>_ОНМ2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28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560" w:rsidRDefault="00546560" w:rsidP="00E47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560" w:rsidRDefault="00546560" w:rsidP="00E4790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560" w:rsidRDefault="00546560" w:rsidP="000F14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  <w:r w:rsidR="000F14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</w:tr>
      <w:tr w:rsidR="00E4790D" w:rsidRPr="001F1473" w:rsidTr="00546560">
        <w:trPr>
          <w:trHeight w:val="7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90D" w:rsidRPr="00333A29" w:rsidRDefault="00E4790D" w:rsidP="00E4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75" w:rsidRDefault="00F65775" w:rsidP="00E4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ИТОГО по ИП </w:t>
            </w:r>
          </w:p>
          <w:p w:rsidR="00E4790D" w:rsidRPr="00333A29" w:rsidRDefault="00F65775" w:rsidP="0057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202</w:t>
            </w:r>
            <w:r w:rsidR="0057113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-202</w:t>
            </w:r>
            <w:r w:rsidR="0057113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гг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0D" w:rsidRPr="00333A29" w:rsidRDefault="00E4790D" w:rsidP="00E4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0D" w:rsidRPr="00333A29" w:rsidRDefault="00546560" w:rsidP="0057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</w:t>
            </w:r>
            <w:r w:rsidR="0057113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0</w:t>
            </w:r>
            <w:r w:rsidR="002474E8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шт.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0D" w:rsidRPr="00333A29" w:rsidRDefault="00E4790D" w:rsidP="00E4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90D" w:rsidRPr="00262409" w:rsidRDefault="00546560" w:rsidP="009E31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  <w:r w:rsidR="000F14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,</w:t>
            </w:r>
            <w:r w:rsidR="000F14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366234</w:t>
            </w:r>
          </w:p>
        </w:tc>
      </w:tr>
    </w:tbl>
    <w:p w:rsidR="00D2209C" w:rsidRDefault="00D2209C" w:rsidP="005F36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7F99" w:rsidRPr="00A71136" w:rsidRDefault="00E07F99" w:rsidP="00E07F99">
      <w:pPr>
        <w:pStyle w:val="Default"/>
        <w:numPr>
          <w:ilvl w:val="0"/>
          <w:numId w:val="10"/>
        </w:numPr>
        <w:jc w:val="center"/>
        <w:outlineLvl w:val="0"/>
        <w:rPr>
          <w:rFonts w:eastAsiaTheme="minorHAnsi"/>
          <w:b/>
          <w:color w:val="auto"/>
          <w:lang w:eastAsia="en-US"/>
        </w:rPr>
      </w:pPr>
      <w:bookmarkStart w:id="10" w:name="_Toc169622483"/>
      <w:r w:rsidRPr="00A71136">
        <w:rPr>
          <w:rFonts w:eastAsiaTheme="minorHAnsi"/>
          <w:b/>
          <w:color w:val="auto"/>
          <w:lang w:eastAsia="en-US"/>
        </w:rPr>
        <w:t>При</w:t>
      </w:r>
      <w:r w:rsidR="00FC4996">
        <w:rPr>
          <w:rFonts w:eastAsiaTheme="minorHAnsi"/>
          <w:b/>
          <w:color w:val="auto"/>
          <w:lang w:eastAsia="en-US"/>
        </w:rPr>
        <w:t>чины направления корректировки и</w:t>
      </w:r>
      <w:r w:rsidRPr="00A71136">
        <w:rPr>
          <w:rFonts w:eastAsiaTheme="minorHAnsi"/>
          <w:b/>
          <w:color w:val="auto"/>
          <w:lang w:eastAsia="en-US"/>
        </w:rPr>
        <w:t>нвестиционной программы, утвержденной Распоряжением Правительства Тульской области №504-р</w:t>
      </w:r>
      <w:r w:rsidR="008E0172" w:rsidRPr="00A71136">
        <w:rPr>
          <w:rFonts w:eastAsiaTheme="minorHAnsi"/>
          <w:b/>
          <w:color w:val="auto"/>
          <w:lang w:eastAsia="en-US"/>
        </w:rPr>
        <w:t xml:space="preserve"> </w:t>
      </w:r>
      <w:r w:rsidRPr="00A71136">
        <w:rPr>
          <w:rFonts w:eastAsiaTheme="minorHAnsi"/>
          <w:b/>
          <w:color w:val="auto"/>
          <w:lang w:eastAsia="en-US"/>
        </w:rPr>
        <w:t>от 04.10.2021</w:t>
      </w:r>
      <w:r w:rsidR="00F65775">
        <w:rPr>
          <w:rFonts w:eastAsiaTheme="minorHAnsi"/>
          <w:b/>
          <w:color w:val="auto"/>
          <w:lang w:eastAsia="en-US"/>
        </w:rPr>
        <w:t xml:space="preserve"> </w:t>
      </w:r>
      <w:r w:rsidR="00F65775" w:rsidRPr="00A71136">
        <w:rPr>
          <w:rFonts w:eastAsiaTheme="minorHAnsi"/>
          <w:b/>
          <w:color w:val="auto"/>
          <w:lang w:eastAsia="en-US"/>
        </w:rPr>
        <w:t xml:space="preserve">(ред. от </w:t>
      </w:r>
      <w:r w:rsidR="00FC4996">
        <w:rPr>
          <w:rFonts w:eastAsiaTheme="minorHAnsi"/>
          <w:b/>
          <w:color w:val="auto"/>
          <w:lang w:eastAsia="en-US"/>
        </w:rPr>
        <w:t>10</w:t>
      </w:r>
      <w:r w:rsidR="00F65775" w:rsidRPr="00A71136">
        <w:rPr>
          <w:rFonts w:eastAsiaTheme="minorHAnsi"/>
          <w:b/>
          <w:color w:val="auto"/>
          <w:lang w:eastAsia="en-US"/>
        </w:rPr>
        <w:t>.</w:t>
      </w:r>
      <w:r w:rsidR="00FC4996">
        <w:rPr>
          <w:rFonts w:eastAsiaTheme="minorHAnsi"/>
          <w:b/>
          <w:color w:val="auto"/>
          <w:lang w:eastAsia="en-US"/>
        </w:rPr>
        <w:t>08</w:t>
      </w:r>
      <w:r w:rsidR="00F65775" w:rsidRPr="00A71136">
        <w:rPr>
          <w:rFonts w:eastAsiaTheme="minorHAnsi"/>
          <w:b/>
          <w:color w:val="auto"/>
          <w:lang w:eastAsia="en-US"/>
        </w:rPr>
        <w:t>.202</w:t>
      </w:r>
      <w:r w:rsidR="00FC4996">
        <w:rPr>
          <w:rFonts w:eastAsiaTheme="minorHAnsi"/>
          <w:b/>
          <w:color w:val="auto"/>
          <w:lang w:eastAsia="en-US"/>
        </w:rPr>
        <w:t>3</w:t>
      </w:r>
      <w:r w:rsidR="00F65775" w:rsidRPr="00A71136">
        <w:rPr>
          <w:rFonts w:eastAsiaTheme="minorHAnsi"/>
          <w:b/>
          <w:color w:val="auto"/>
          <w:lang w:eastAsia="en-US"/>
        </w:rPr>
        <w:t xml:space="preserve"> №</w:t>
      </w:r>
      <w:r w:rsidR="00FC4996">
        <w:rPr>
          <w:rFonts w:eastAsiaTheme="minorHAnsi"/>
          <w:b/>
          <w:color w:val="auto"/>
          <w:lang w:eastAsia="en-US"/>
        </w:rPr>
        <w:t>443</w:t>
      </w:r>
      <w:r w:rsidR="00F65775" w:rsidRPr="00A71136">
        <w:rPr>
          <w:rFonts w:eastAsiaTheme="minorHAnsi"/>
          <w:b/>
          <w:color w:val="auto"/>
          <w:lang w:eastAsia="en-US"/>
        </w:rPr>
        <w:t>-р)</w:t>
      </w:r>
      <w:bookmarkEnd w:id="10"/>
    </w:p>
    <w:p w:rsidR="00E07F99" w:rsidRPr="00A71136" w:rsidRDefault="00E07F99" w:rsidP="00E07F99">
      <w:pPr>
        <w:pStyle w:val="Default"/>
        <w:ind w:left="393"/>
        <w:outlineLvl w:val="0"/>
        <w:rPr>
          <w:rFonts w:eastAsiaTheme="minorHAnsi"/>
          <w:b/>
          <w:color w:val="auto"/>
          <w:lang w:eastAsia="en-US"/>
        </w:rPr>
      </w:pPr>
    </w:p>
    <w:p w:rsidR="00E07F99" w:rsidRPr="00EC2918" w:rsidRDefault="00E07F99" w:rsidP="00530130">
      <w:pPr>
        <w:pStyle w:val="a4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AAE">
        <w:rPr>
          <w:rFonts w:ascii="Times New Roman" w:hAnsi="Times New Roman" w:cs="Times New Roman"/>
          <w:sz w:val="24"/>
          <w:szCs w:val="24"/>
        </w:rPr>
        <w:t xml:space="preserve">Перенос сроков </w:t>
      </w:r>
      <w:r w:rsidR="00852324" w:rsidRPr="00B76AAE">
        <w:rPr>
          <w:rFonts w:ascii="Times New Roman" w:hAnsi="Times New Roman" w:cs="Times New Roman"/>
          <w:sz w:val="24"/>
          <w:szCs w:val="24"/>
        </w:rPr>
        <w:t xml:space="preserve">финансирования и </w:t>
      </w:r>
      <w:r w:rsidRPr="00B76AAE">
        <w:rPr>
          <w:rFonts w:ascii="Times New Roman" w:hAnsi="Times New Roman" w:cs="Times New Roman"/>
          <w:sz w:val="24"/>
          <w:szCs w:val="24"/>
        </w:rPr>
        <w:t>реализации проекта «Интеллектуальная система учета электроэнергии Центрального филиала ООО "Газпром энерго" в Тульской области» L_ПУ23/1, утвержденного к реализации на 202</w:t>
      </w:r>
      <w:r w:rsidR="00FC4996">
        <w:rPr>
          <w:rFonts w:ascii="Times New Roman" w:hAnsi="Times New Roman" w:cs="Times New Roman"/>
          <w:sz w:val="24"/>
          <w:szCs w:val="24"/>
        </w:rPr>
        <w:t>4</w:t>
      </w:r>
      <w:r w:rsidR="008E0172" w:rsidRPr="00B76AAE">
        <w:rPr>
          <w:rFonts w:ascii="Times New Roman" w:hAnsi="Times New Roman" w:cs="Times New Roman"/>
          <w:sz w:val="24"/>
          <w:szCs w:val="24"/>
        </w:rPr>
        <w:t>-202</w:t>
      </w:r>
      <w:r w:rsidR="00FC4996">
        <w:rPr>
          <w:rFonts w:ascii="Times New Roman" w:hAnsi="Times New Roman" w:cs="Times New Roman"/>
          <w:sz w:val="24"/>
          <w:szCs w:val="24"/>
        </w:rPr>
        <w:t>5</w:t>
      </w:r>
      <w:r w:rsidRPr="00B76AAE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62409" w:rsidRPr="00B76AAE">
        <w:rPr>
          <w:rFonts w:ascii="Times New Roman" w:hAnsi="Times New Roman" w:cs="Times New Roman"/>
          <w:sz w:val="24"/>
          <w:szCs w:val="24"/>
        </w:rPr>
        <w:t>3,</w:t>
      </w:r>
      <w:r w:rsidR="00413B5F">
        <w:rPr>
          <w:rFonts w:ascii="Times New Roman" w:hAnsi="Times New Roman" w:cs="Times New Roman"/>
          <w:sz w:val="24"/>
          <w:szCs w:val="24"/>
        </w:rPr>
        <w:t>557</w:t>
      </w:r>
      <w:r w:rsidRPr="00B76AAE">
        <w:rPr>
          <w:rFonts w:ascii="Times New Roman" w:hAnsi="Times New Roman" w:cs="Times New Roman"/>
          <w:sz w:val="24"/>
          <w:szCs w:val="24"/>
        </w:rPr>
        <w:t xml:space="preserve"> млн. руб. с НДС вызван </w:t>
      </w:r>
      <w:r w:rsidR="00530130" w:rsidRPr="00B76AAE">
        <w:rPr>
          <w:rFonts w:ascii="Times New Roman" w:hAnsi="Times New Roman" w:cs="Times New Roman"/>
          <w:sz w:val="24"/>
          <w:szCs w:val="24"/>
        </w:rPr>
        <w:t>проблемами с поставками коммуникационного оборудования, что увеличивает время, необходимое для разработки проекта интеллектуальной системы учета</w:t>
      </w:r>
      <w:r w:rsidR="00530130" w:rsidRPr="00EC2918">
        <w:rPr>
          <w:rFonts w:ascii="Times New Roman" w:hAnsi="Times New Roman" w:cs="Times New Roman"/>
          <w:sz w:val="24"/>
          <w:szCs w:val="24"/>
        </w:rPr>
        <w:t>. Сроки реализации и финансирования инвестиционного проекта перенесены на 202</w:t>
      </w:r>
      <w:r w:rsidR="00413B5F" w:rsidRPr="00EC2918">
        <w:rPr>
          <w:rFonts w:ascii="Times New Roman" w:hAnsi="Times New Roman" w:cs="Times New Roman"/>
          <w:sz w:val="24"/>
          <w:szCs w:val="24"/>
        </w:rPr>
        <w:t>4</w:t>
      </w:r>
      <w:r w:rsidR="00530130" w:rsidRPr="00EC2918">
        <w:rPr>
          <w:rFonts w:ascii="Times New Roman" w:hAnsi="Times New Roman" w:cs="Times New Roman"/>
          <w:sz w:val="24"/>
          <w:szCs w:val="24"/>
        </w:rPr>
        <w:t>-202</w:t>
      </w:r>
      <w:r w:rsidR="00413B5F" w:rsidRPr="00EC2918">
        <w:rPr>
          <w:rFonts w:ascii="Times New Roman" w:hAnsi="Times New Roman" w:cs="Times New Roman"/>
          <w:sz w:val="24"/>
          <w:szCs w:val="24"/>
        </w:rPr>
        <w:t>6</w:t>
      </w:r>
      <w:r w:rsidR="00530130" w:rsidRPr="00EC2918">
        <w:rPr>
          <w:rFonts w:ascii="Times New Roman" w:hAnsi="Times New Roman" w:cs="Times New Roman"/>
          <w:sz w:val="24"/>
          <w:szCs w:val="24"/>
        </w:rPr>
        <w:t xml:space="preserve"> годы.</w:t>
      </w:r>
      <w:r w:rsidR="00432B5E" w:rsidRPr="00EC2918">
        <w:rPr>
          <w:rFonts w:ascii="Times New Roman" w:hAnsi="Times New Roman" w:cs="Times New Roman"/>
          <w:sz w:val="24"/>
          <w:szCs w:val="24"/>
        </w:rPr>
        <w:t xml:space="preserve"> Объем финансирования обосновывается сметным расчетом на 2024-202</w:t>
      </w:r>
      <w:r w:rsidR="00413B5F" w:rsidRPr="00EC2918">
        <w:rPr>
          <w:rFonts w:ascii="Times New Roman" w:hAnsi="Times New Roman" w:cs="Times New Roman"/>
          <w:sz w:val="24"/>
          <w:szCs w:val="24"/>
        </w:rPr>
        <w:t>6</w:t>
      </w:r>
      <w:r w:rsidR="00432B5E" w:rsidRPr="00EC2918">
        <w:rPr>
          <w:rFonts w:ascii="Times New Roman" w:hAnsi="Times New Roman" w:cs="Times New Roman"/>
          <w:sz w:val="24"/>
          <w:szCs w:val="24"/>
        </w:rPr>
        <w:t xml:space="preserve"> годы и составляет </w:t>
      </w:r>
      <w:r w:rsidR="00413B5F" w:rsidRPr="00EC2918">
        <w:rPr>
          <w:rFonts w:ascii="Times New Roman" w:hAnsi="Times New Roman" w:cs="Times New Roman"/>
          <w:sz w:val="24"/>
          <w:szCs w:val="20"/>
        </w:rPr>
        <w:t>2,</w:t>
      </w:r>
      <w:r w:rsidR="00EC2918" w:rsidRPr="00EC2918">
        <w:rPr>
          <w:rFonts w:ascii="Times New Roman" w:hAnsi="Times New Roman" w:cs="Times New Roman"/>
          <w:sz w:val="24"/>
          <w:szCs w:val="20"/>
        </w:rPr>
        <w:t>371699</w:t>
      </w:r>
      <w:r w:rsidR="00432B5E" w:rsidRPr="00EC2918">
        <w:rPr>
          <w:rFonts w:ascii="Times New Roman" w:hAnsi="Times New Roman" w:cs="Times New Roman"/>
          <w:sz w:val="32"/>
          <w:szCs w:val="24"/>
        </w:rPr>
        <w:t xml:space="preserve"> </w:t>
      </w:r>
      <w:proofErr w:type="spellStart"/>
      <w:r w:rsidR="00432B5E" w:rsidRPr="00EC2918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="00432B5E" w:rsidRPr="00EC2918">
        <w:rPr>
          <w:rFonts w:ascii="Times New Roman" w:hAnsi="Times New Roman" w:cs="Times New Roman"/>
          <w:sz w:val="24"/>
          <w:szCs w:val="24"/>
        </w:rPr>
        <w:t>. с НДС.</w:t>
      </w:r>
    </w:p>
    <w:p w:rsidR="00413B5F" w:rsidRPr="00413B5F" w:rsidRDefault="00413B5F" w:rsidP="00413B5F">
      <w:pPr>
        <w:pStyle w:val="Default"/>
        <w:numPr>
          <w:ilvl w:val="1"/>
          <w:numId w:val="10"/>
        </w:numPr>
        <w:jc w:val="both"/>
        <w:rPr>
          <w:rFonts w:eastAsiaTheme="minorHAnsi"/>
          <w:color w:val="auto"/>
          <w:lang w:eastAsia="en-US"/>
        </w:rPr>
      </w:pPr>
      <w:r w:rsidRPr="00B76AAE">
        <w:rPr>
          <w:rFonts w:eastAsiaTheme="minorHAnsi"/>
          <w:color w:val="auto"/>
          <w:lang w:eastAsia="en-US"/>
        </w:rPr>
        <w:t>Добавление в инвестиционную программу инвестиционного проекта «</w:t>
      </w:r>
      <w:r w:rsidRPr="001F1473">
        <w:t xml:space="preserve">Покупка </w:t>
      </w:r>
      <w:r>
        <w:t>генератора поискового ГП-500К (с кейсом) Ангстрем 1 шт.</w:t>
      </w:r>
      <w:r w:rsidRPr="00B76AAE">
        <w:t>».</w:t>
      </w:r>
    </w:p>
    <w:p w:rsidR="00413B5F" w:rsidRPr="00413B5F" w:rsidRDefault="00413B5F" w:rsidP="00413B5F">
      <w:pPr>
        <w:pStyle w:val="Default"/>
        <w:numPr>
          <w:ilvl w:val="1"/>
          <w:numId w:val="10"/>
        </w:numPr>
        <w:jc w:val="both"/>
        <w:rPr>
          <w:rFonts w:eastAsiaTheme="minorHAnsi"/>
          <w:color w:val="auto"/>
          <w:lang w:eastAsia="en-US"/>
        </w:rPr>
      </w:pPr>
      <w:r w:rsidRPr="00B76AAE">
        <w:rPr>
          <w:rFonts w:eastAsiaTheme="minorHAnsi"/>
          <w:color w:val="auto"/>
          <w:lang w:eastAsia="en-US"/>
        </w:rPr>
        <w:t>Добавление в инвестиционную программу инвестиционного проекта «</w:t>
      </w:r>
      <w:r w:rsidRPr="0063080D">
        <w:t xml:space="preserve">Покупка </w:t>
      </w:r>
      <w:proofErr w:type="spellStart"/>
      <w:r w:rsidRPr="0063080D">
        <w:t>мотобуксировщика</w:t>
      </w:r>
      <w:proofErr w:type="spellEnd"/>
      <w:r w:rsidRPr="0063080D">
        <w:t xml:space="preserve"> </w:t>
      </w:r>
      <w:proofErr w:type="spellStart"/>
      <w:r w:rsidRPr="0063080D">
        <w:t>Sharmax</w:t>
      </w:r>
      <w:proofErr w:type="spellEnd"/>
      <w:r w:rsidRPr="0063080D">
        <w:t xml:space="preserve"> S500 1450 HP20 </w:t>
      </w:r>
      <w:proofErr w:type="spellStart"/>
      <w:r w:rsidRPr="0063080D">
        <w:t>Enduro</w:t>
      </w:r>
      <w:proofErr w:type="spellEnd"/>
      <w:r w:rsidRPr="0063080D">
        <w:t xml:space="preserve"> с дополнительным оборудованием </w:t>
      </w:r>
      <w:r>
        <w:t>2</w:t>
      </w:r>
      <w:r w:rsidRPr="0063080D">
        <w:t xml:space="preserve"> шт.</w:t>
      </w:r>
      <w:r w:rsidRPr="00B76AAE">
        <w:t>».</w:t>
      </w:r>
    </w:p>
    <w:p w:rsidR="00413B5F" w:rsidRPr="00B76AAE" w:rsidRDefault="00413B5F" w:rsidP="00413B5F">
      <w:pPr>
        <w:pStyle w:val="Default"/>
        <w:ind w:left="33"/>
        <w:jc w:val="both"/>
        <w:rPr>
          <w:rFonts w:eastAsiaTheme="minorHAnsi"/>
          <w:color w:val="auto"/>
          <w:lang w:eastAsia="en-US"/>
        </w:rPr>
      </w:pPr>
    </w:p>
    <w:p w:rsidR="00783BF7" w:rsidRPr="00262409" w:rsidRDefault="00783BF7" w:rsidP="00783BF7">
      <w:pPr>
        <w:pStyle w:val="Default"/>
        <w:ind w:left="753"/>
        <w:jc w:val="both"/>
        <w:rPr>
          <w:rFonts w:eastAsiaTheme="minorHAnsi"/>
          <w:color w:val="auto"/>
          <w:lang w:eastAsia="en-US"/>
        </w:rPr>
      </w:pPr>
    </w:p>
    <w:p w:rsidR="003B698E" w:rsidRPr="00A71136" w:rsidRDefault="003B698E" w:rsidP="005F3684">
      <w:pPr>
        <w:pStyle w:val="Default"/>
        <w:numPr>
          <w:ilvl w:val="0"/>
          <w:numId w:val="10"/>
        </w:numPr>
        <w:jc w:val="center"/>
        <w:outlineLvl w:val="0"/>
        <w:rPr>
          <w:rFonts w:eastAsiaTheme="minorHAnsi"/>
          <w:b/>
          <w:color w:val="auto"/>
          <w:lang w:eastAsia="en-US"/>
        </w:rPr>
      </w:pPr>
      <w:bookmarkStart w:id="11" w:name="_Toc169622484"/>
      <w:r w:rsidRPr="00A71136">
        <w:rPr>
          <w:rFonts w:eastAsiaTheme="minorHAnsi"/>
          <w:b/>
          <w:color w:val="auto"/>
          <w:lang w:eastAsia="en-US"/>
        </w:rPr>
        <w:t>Контроль за реализацией инвестиционной программы</w:t>
      </w:r>
      <w:bookmarkEnd w:id="11"/>
    </w:p>
    <w:p w:rsidR="00F65775" w:rsidRDefault="00F65775" w:rsidP="005F3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3C9B" w:rsidRPr="00A71136" w:rsidRDefault="00483C9B" w:rsidP="005F3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Контроль за ходом реализации инвестиционной программы осуществляется в соответствии с Правилами осуществления контроля за реализацией инвестиционных программ субъектов электроэнергетики, утверждёнными постановлением Правительства РФ от 01.12.2009 № 977.</w:t>
      </w:r>
    </w:p>
    <w:p w:rsidR="00483C9B" w:rsidRPr="00A71136" w:rsidRDefault="00483C9B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Информация о фактических расходах по реализации инвестиционных проектов предоставляется ежеквартально не позднее чем через 45 дней после окончания отчетного квартала, путем размещения на официальном сайте системы в соответствии со стандартами раскрытия информации субъектами оптового и розничных рынков электрической энергии, утвержденными постановлением Правительства Российской Федерации от 21.01.2004 №24 "Об утверждении стандартов раскрытия информации субъектами оптового и розничных рынков электрической энергии", отчетов о реализации инвестиционных программ за предыдущий квартал.</w:t>
      </w:r>
    </w:p>
    <w:p w:rsidR="007279F8" w:rsidRPr="00A71136" w:rsidRDefault="007279F8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Ежеквартально осуществляется отчет по реализации Инвестиционной Программе по </w:t>
      </w:r>
      <w:r w:rsidR="005F3684" w:rsidRPr="00A71136">
        <w:rPr>
          <w:rFonts w:ascii="Times New Roman" w:hAnsi="Times New Roman" w:cs="Times New Roman"/>
          <w:sz w:val="24"/>
          <w:szCs w:val="24"/>
        </w:rPr>
        <w:t>приказу ФСТ России от 20.02.2014 №202-э "Об утверждении формы отчета об использовании инвестиционных ресурсов, включенных в регулируемые государством цены (тарифы) в сфере электроэнергетики и в сфере теплоснабжения" и приказу Минэнерго России от 24.03.2010 №114 "Об утверждении формы инвестиционной программы субъектов электроэнергетики, в уставных капиталах которых участвует государство, и сетевых организаций".</w:t>
      </w:r>
    </w:p>
    <w:p w:rsidR="00483C9B" w:rsidRPr="00A71136" w:rsidRDefault="00483C9B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>Ежегодно, до 1 апреля, размещается на официальном сайте системы в соответствии со стандартами раскрытия информации отчеты</w:t>
      </w:r>
      <w:r w:rsidR="005F3684" w:rsidRPr="00A71136">
        <w:rPr>
          <w:rFonts w:ascii="Times New Roman" w:hAnsi="Times New Roman" w:cs="Times New Roman"/>
          <w:sz w:val="24"/>
          <w:szCs w:val="24"/>
        </w:rPr>
        <w:t xml:space="preserve"> по утвержденным формам</w:t>
      </w:r>
      <w:r w:rsidRPr="00A71136">
        <w:rPr>
          <w:rFonts w:ascii="Times New Roman" w:hAnsi="Times New Roman" w:cs="Times New Roman"/>
          <w:sz w:val="24"/>
          <w:szCs w:val="24"/>
        </w:rPr>
        <w:t xml:space="preserve"> о реализации инвестиционных программ за предыдущий год.</w:t>
      </w:r>
    </w:p>
    <w:p w:rsidR="00B860A1" w:rsidRPr="00A71136" w:rsidRDefault="00B860A1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1136">
        <w:rPr>
          <w:rFonts w:ascii="Times New Roman" w:hAnsi="Times New Roman" w:cs="Times New Roman"/>
          <w:sz w:val="24"/>
          <w:szCs w:val="24"/>
        </w:rPr>
        <w:t xml:space="preserve">Предложений от межотраслевого совета потребителей по вопросам деятельности субъектов естественных монополий при Губернаторе Тульской области по доработке </w:t>
      </w:r>
      <w:r w:rsidRPr="00A71136">
        <w:rPr>
          <w:rFonts w:ascii="Times New Roman" w:hAnsi="Times New Roman" w:cs="Times New Roman"/>
          <w:sz w:val="24"/>
          <w:szCs w:val="24"/>
        </w:rPr>
        <w:lastRenderedPageBreak/>
        <w:t xml:space="preserve">инвестиционного проекта в адрес ООО «Газпром энерго» не поступало. Технологический и ценовой аудит инвестиционной программы не проводился. </w:t>
      </w:r>
    </w:p>
    <w:p w:rsidR="00872127" w:rsidRDefault="00872127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2B5E" w:rsidRDefault="00432B5E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2B5E" w:rsidRPr="00A71136" w:rsidRDefault="00432B5E" w:rsidP="005F36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698E" w:rsidRPr="00A71136" w:rsidRDefault="003B698E" w:rsidP="005F3684">
      <w:pPr>
        <w:pStyle w:val="Default"/>
        <w:jc w:val="center"/>
        <w:outlineLvl w:val="0"/>
        <w:rPr>
          <w:rFonts w:eastAsiaTheme="minorHAnsi"/>
          <w:b/>
          <w:color w:val="auto"/>
          <w:lang w:eastAsia="en-US"/>
        </w:rPr>
      </w:pPr>
      <w:bookmarkStart w:id="12" w:name="_Toc169622485"/>
      <w:r w:rsidRPr="00A71136">
        <w:rPr>
          <w:rFonts w:eastAsiaTheme="minorHAnsi"/>
          <w:b/>
          <w:color w:val="auto"/>
          <w:lang w:eastAsia="en-US"/>
        </w:rPr>
        <w:t>Заключение</w:t>
      </w:r>
      <w:bookmarkEnd w:id="12"/>
    </w:p>
    <w:p w:rsidR="00144D3A" w:rsidRDefault="00144D3A" w:rsidP="005F3684">
      <w:pPr>
        <w:pStyle w:val="Default"/>
        <w:ind w:firstLine="708"/>
        <w:jc w:val="both"/>
        <w:rPr>
          <w:rFonts w:eastAsiaTheme="minorHAnsi"/>
          <w:color w:val="auto"/>
          <w:lang w:eastAsia="en-US"/>
        </w:rPr>
      </w:pPr>
    </w:p>
    <w:p w:rsidR="003B698E" w:rsidRPr="00A71136" w:rsidRDefault="003B698E" w:rsidP="005F3684">
      <w:pPr>
        <w:pStyle w:val="Default"/>
        <w:ind w:firstLine="708"/>
        <w:jc w:val="both"/>
        <w:rPr>
          <w:rFonts w:eastAsiaTheme="minorHAnsi"/>
          <w:color w:val="auto"/>
          <w:lang w:eastAsia="en-US"/>
        </w:rPr>
      </w:pPr>
      <w:r w:rsidRPr="00A71136">
        <w:rPr>
          <w:rFonts w:eastAsiaTheme="minorHAnsi"/>
          <w:color w:val="auto"/>
          <w:lang w:eastAsia="en-US"/>
        </w:rPr>
        <w:t xml:space="preserve">Инвестиционные затраты ООО «Газпром энерго» </w:t>
      </w:r>
      <w:r w:rsidR="00A8715B" w:rsidRPr="00A71136">
        <w:rPr>
          <w:rFonts w:eastAsiaTheme="minorHAnsi"/>
          <w:color w:val="auto"/>
          <w:lang w:eastAsia="en-US"/>
        </w:rPr>
        <w:t xml:space="preserve">на реализацию инвестиционных проектов по </w:t>
      </w:r>
      <w:r w:rsidR="00483C9B" w:rsidRPr="00A71136">
        <w:rPr>
          <w:rFonts w:eastAsiaTheme="minorHAnsi"/>
          <w:color w:val="auto"/>
          <w:lang w:eastAsia="en-US"/>
        </w:rPr>
        <w:t xml:space="preserve">Тульской </w:t>
      </w:r>
      <w:r w:rsidR="00A8715B" w:rsidRPr="00A71136">
        <w:rPr>
          <w:rFonts w:eastAsiaTheme="minorHAnsi"/>
          <w:color w:val="auto"/>
          <w:lang w:eastAsia="en-US"/>
        </w:rPr>
        <w:t>области в период 202</w:t>
      </w:r>
      <w:r w:rsidR="00892383">
        <w:rPr>
          <w:rFonts w:eastAsiaTheme="minorHAnsi"/>
          <w:color w:val="auto"/>
          <w:lang w:eastAsia="en-US"/>
        </w:rPr>
        <w:t>4</w:t>
      </w:r>
      <w:r w:rsidR="00A8715B" w:rsidRPr="00A71136">
        <w:rPr>
          <w:rFonts w:eastAsiaTheme="minorHAnsi"/>
          <w:color w:val="auto"/>
          <w:lang w:eastAsia="en-US"/>
        </w:rPr>
        <w:t>-202</w:t>
      </w:r>
      <w:r w:rsidR="00892383">
        <w:rPr>
          <w:rFonts w:eastAsiaTheme="minorHAnsi"/>
          <w:color w:val="auto"/>
          <w:lang w:eastAsia="en-US"/>
        </w:rPr>
        <w:t>7</w:t>
      </w:r>
      <w:r w:rsidR="00A8715B" w:rsidRPr="00A71136">
        <w:rPr>
          <w:rFonts w:eastAsiaTheme="minorHAnsi"/>
          <w:color w:val="auto"/>
          <w:lang w:eastAsia="en-US"/>
        </w:rPr>
        <w:t xml:space="preserve"> год </w:t>
      </w:r>
      <w:r w:rsidRPr="00A71136">
        <w:rPr>
          <w:rFonts w:eastAsiaTheme="minorHAnsi"/>
          <w:color w:val="auto"/>
          <w:lang w:eastAsia="en-US"/>
        </w:rPr>
        <w:t>не окупаются</w:t>
      </w:r>
      <w:r w:rsidR="00A8715B" w:rsidRPr="00A71136">
        <w:rPr>
          <w:rFonts w:eastAsiaTheme="minorHAnsi"/>
          <w:color w:val="auto"/>
          <w:lang w:eastAsia="en-US"/>
        </w:rPr>
        <w:t xml:space="preserve">. </w:t>
      </w:r>
      <w:r w:rsidRPr="00A71136">
        <w:rPr>
          <w:rFonts w:eastAsiaTheme="minorHAnsi"/>
          <w:color w:val="auto"/>
          <w:lang w:eastAsia="en-US"/>
        </w:rPr>
        <w:t>Однако</w:t>
      </w:r>
      <w:r w:rsidR="009E317E">
        <w:rPr>
          <w:rFonts w:eastAsiaTheme="minorHAnsi"/>
          <w:color w:val="auto"/>
          <w:lang w:eastAsia="en-US"/>
        </w:rPr>
        <w:t xml:space="preserve"> при реализации и</w:t>
      </w:r>
      <w:r w:rsidRPr="00A71136">
        <w:rPr>
          <w:rFonts w:eastAsiaTheme="minorHAnsi"/>
          <w:color w:val="auto"/>
          <w:lang w:eastAsia="en-US"/>
        </w:rPr>
        <w:t xml:space="preserve">нвестиционной программы достигается основная цель - выполнение требований </w:t>
      </w:r>
      <w:r w:rsidR="001F1473" w:rsidRPr="00A71136">
        <w:rPr>
          <w:rFonts w:eastAsiaTheme="minorHAnsi"/>
          <w:color w:val="auto"/>
          <w:lang w:eastAsia="en-US"/>
        </w:rPr>
        <w:t xml:space="preserve">действующего </w:t>
      </w:r>
      <w:r w:rsidRPr="00A71136">
        <w:rPr>
          <w:rFonts w:eastAsiaTheme="minorHAnsi"/>
          <w:color w:val="auto"/>
          <w:lang w:eastAsia="en-US"/>
        </w:rPr>
        <w:t>законодательства РФ (</w:t>
      </w:r>
      <w:r w:rsidR="00585B0C" w:rsidRPr="00A71136">
        <w:rPr>
          <w:rFonts w:eastAsiaTheme="minorHAnsi"/>
          <w:color w:val="auto"/>
          <w:lang w:eastAsia="en-US"/>
        </w:rPr>
        <w:t>Федеральный закон от 26.03.2003 N 35-</w:t>
      </w:r>
      <w:proofErr w:type="gramStart"/>
      <w:r w:rsidR="00585B0C" w:rsidRPr="00A71136">
        <w:rPr>
          <w:rFonts w:eastAsiaTheme="minorHAnsi"/>
          <w:color w:val="auto"/>
          <w:lang w:eastAsia="en-US"/>
        </w:rPr>
        <w:t>ФЗ  «</w:t>
      </w:r>
      <w:proofErr w:type="gramEnd"/>
      <w:r w:rsidR="00585B0C" w:rsidRPr="00A71136">
        <w:rPr>
          <w:rFonts w:eastAsiaTheme="minorHAnsi"/>
          <w:color w:val="auto"/>
          <w:lang w:eastAsia="en-US"/>
        </w:rPr>
        <w:t xml:space="preserve">Об электроэнергетике», </w:t>
      </w:r>
      <w:r w:rsidRPr="00A71136">
        <w:t xml:space="preserve">Федеральный закон </w:t>
      </w:r>
      <w:r w:rsidR="002B773D" w:rsidRPr="00A71136">
        <w:t>от 23.11.2009</w:t>
      </w:r>
      <w:r w:rsidRPr="00A71136">
        <w:t xml:space="preserve"> №261-ФЗ «Об энергосбережении и повышении энергетической эффективности и о внесении изменений в отдельные законодательные акты Российской Федерации</w:t>
      </w:r>
      <w:r w:rsidR="00585B0C" w:rsidRPr="00A71136">
        <w:t>»</w:t>
      </w:r>
      <w:r w:rsidR="001F1473" w:rsidRPr="00A71136">
        <w:t>) и н</w:t>
      </w:r>
      <w:r w:rsidR="002B773D" w:rsidRPr="00A71136">
        <w:t>ормативных документов при осуществлении производственной деятельности территориально - сетевой организации</w:t>
      </w:r>
      <w:r w:rsidR="00483C9B" w:rsidRPr="00A71136">
        <w:t>.</w:t>
      </w:r>
      <w:r w:rsidR="00A8715B" w:rsidRPr="00A71136">
        <w:t xml:space="preserve"> </w:t>
      </w:r>
    </w:p>
    <w:p w:rsidR="003B698E" w:rsidRDefault="003B698E" w:rsidP="005F3684">
      <w:pPr>
        <w:pStyle w:val="Default"/>
        <w:jc w:val="both"/>
        <w:rPr>
          <w:rFonts w:eastAsiaTheme="minorHAnsi"/>
          <w:color w:val="auto"/>
          <w:lang w:eastAsia="en-US"/>
        </w:rPr>
      </w:pPr>
    </w:p>
    <w:p w:rsidR="00240ED2" w:rsidRDefault="00240ED2" w:rsidP="005F3684">
      <w:pPr>
        <w:pStyle w:val="Default"/>
        <w:jc w:val="both"/>
        <w:rPr>
          <w:rFonts w:eastAsiaTheme="minorHAnsi"/>
          <w:color w:val="auto"/>
          <w:lang w:eastAsia="en-US"/>
        </w:rPr>
      </w:pPr>
    </w:p>
    <w:p w:rsidR="002B773D" w:rsidRPr="00333A29" w:rsidRDefault="00783BF7" w:rsidP="005F3684">
      <w:pPr>
        <w:pStyle w:val="Default"/>
        <w:jc w:val="both"/>
        <w:rPr>
          <w:rFonts w:eastAsiaTheme="minorHAnsi"/>
          <w:b/>
          <w:color w:val="auto"/>
          <w:lang w:eastAsia="en-US"/>
        </w:rPr>
      </w:pPr>
      <w:r>
        <w:rPr>
          <w:rFonts w:eastAsiaTheme="minorHAnsi"/>
          <w:b/>
          <w:color w:val="auto"/>
          <w:lang w:eastAsia="en-US"/>
        </w:rPr>
        <w:t xml:space="preserve">Директор филиала                </w:t>
      </w:r>
      <w:r w:rsidR="002B773D" w:rsidRPr="00333A29">
        <w:rPr>
          <w:rFonts w:eastAsiaTheme="minorHAnsi"/>
          <w:b/>
          <w:color w:val="auto"/>
          <w:lang w:eastAsia="en-US"/>
        </w:rPr>
        <w:t xml:space="preserve">                                    </w:t>
      </w:r>
      <w:r w:rsidR="00333A29">
        <w:rPr>
          <w:rFonts w:eastAsiaTheme="minorHAnsi"/>
          <w:b/>
          <w:color w:val="auto"/>
          <w:lang w:eastAsia="en-US"/>
        </w:rPr>
        <w:t xml:space="preserve">                                      </w:t>
      </w:r>
      <w:r w:rsidR="002B773D" w:rsidRPr="00333A29">
        <w:rPr>
          <w:rFonts w:eastAsiaTheme="minorHAnsi"/>
          <w:b/>
          <w:color w:val="auto"/>
          <w:lang w:eastAsia="en-US"/>
        </w:rPr>
        <w:t xml:space="preserve">           </w:t>
      </w:r>
      <w:r w:rsidR="00B860A1">
        <w:rPr>
          <w:rFonts w:eastAsiaTheme="minorHAnsi"/>
          <w:b/>
          <w:color w:val="auto"/>
          <w:lang w:eastAsia="en-US"/>
        </w:rPr>
        <w:t>В</w:t>
      </w:r>
      <w:r w:rsidR="002B773D" w:rsidRPr="00333A29">
        <w:rPr>
          <w:rFonts w:eastAsiaTheme="minorHAnsi"/>
          <w:b/>
          <w:color w:val="auto"/>
          <w:lang w:eastAsia="en-US"/>
        </w:rPr>
        <w:t>.</w:t>
      </w:r>
      <w:r w:rsidR="00B860A1">
        <w:rPr>
          <w:rFonts w:eastAsiaTheme="minorHAnsi"/>
          <w:b/>
          <w:color w:val="auto"/>
          <w:lang w:eastAsia="en-US"/>
        </w:rPr>
        <w:t>В</w:t>
      </w:r>
      <w:r w:rsidR="002B773D" w:rsidRPr="00333A29">
        <w:rPr>
          <w:rFonts w:eastAsiaTheme="minorHAnsi"/>
          <w:b/>
          <w:color w:val="auto"/>
          <w:lang w:eastAsia="en-US"/>
        </w:rPr>
        <w:t xml:space="preserve">. </w:t>
      </w:r>
      <w:r w:rsidR="00B860A1">
        <w:rPr>
          <w:rFonts w:eastAsiaTheme="minorHAnsi"/>
          <w:b/>
          <w:color w:val="auto"/>
          <w:lang w:eastAsia="en-US"/>
        </w:rPr>
        <w:t>Острик</w:t>
      </w:r>
    </w:p>
    <w:sectPr w:rsidR="002B773D" w:rsidRPr="00333A29" w:rsidSect="00740F6C">
      <w:footerReference w:type="default" r:id="rId13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894" w:rsidRDefault="004B6894" w:rsidP="00FA6E48">
      <w:pPr>
        <w:spacing w:after="0" w:line="240" w:lineRule="auto"/>
      </w:pPr>
      <w:r>
        <w:separator/>
      </w:r>
    </w:p>
  </w:endnote>
  <w:endnote w:type="continuationSeparator" w:id="0">
    <w:p w:rsidR="004B6894" w:rsidRDefault="004B6894" w:rsidP="00FA6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073370"/>
      <w:docPartObj>
        <w:docPartGallery w:val="Page Numbers (Bottom of Page)"/>
        <w:docPartUnique/>
      </w:docPartObj>
    </w:sdtPr>
    <w:sdtContent>
      <w:p w:rsidR="004B6894" w:rsidRDefault="004B689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918">
          <w:rPr>
            <w:noProof/>
          </w:rPr>
          <w:t>6</w:t>
        </w:r>
        <w:r>
          <w:fldChar w:fldCharType="end"/>
        </w:r>
      </w:p>
    </w:sdtContent>
  </w:sdt>
  <w:p w:rsidR="004B6894" w:rsidRDefault="004B689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894" w:rsidRDefault="004B6894" w:rsidP="00FA6E48">
      <w:pPr>
        <w:spacing w:after="0" w:line="240" w:lineRule="auto"/>
      </w:pPr>
      <w:r>
        <w:separator/>
      </w:r>
    </w:p>
  </w:footnote>
  <w:footnote w:type="continuationSeparator" w:id="0">
    <w:p w:rsidR="004B6894" w:rsidRDefault="004B6894" w:rsidP="00FA6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C74CF"/>
    <w:multiLevelType w:val="hybridMultilevel"/>
    <w:tmpl w:val="22E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A75D8"/>
    <w:multiLevelType w:val="hybridMultilevel"/>
    <w:tmpl w:val="A44A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D253A"/>
    <w:multiLevelType w:val="multilevel"/>
    <w:tmpl w:val="CD94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03369"/>
    <w:multiLevelType w:val="multilevel"/>
    <w:tmpl w:val="85A69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C122F0"/>
    <w:multiLevelType w:val="hybridMultilevel"/>
    <w:tmpl w:val="F13419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3381C"/>
    <w:multiLevelType w:val="hybridMultilevel"/>
    <w:tmpl w:val="21565BF6"/>
    <w:lvl w:ilvl="0" w:tplc="3940D5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3AA1C13"/>
    <w:multiLevelType w:val="multilevel"/>
    <w:tmpl w:val="9B1032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361" w:hanging="6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71649B7"/>
    <w:multiLevelType w:val="hybridMultilevel"/>
    <w:tmpl w:val="A894DF60"/>
    <w:lvl w:ilvl="0" w:tplc="DCBCCC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00624E"/>
    <w:multiLevelType w:val="hybridMultilevel"/>
    <w:tmpl w:val="A3B27502"/>
    <w:lvl w:ilvl="0" w:tplc="3182962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261F34"/>
    <w:multiLevelType w:val="hybridMultilevel"/>
    <w:tmpl w:val="98E634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50B2A08"/>
    <w:multiLevelType w:val="multilevel"/>
    <w:tmpl w:val="A774BF9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2160"/>
      </w:pPr>
      <w:rPr>
        <w:rFonts w:hint="default"/>
      </w:rPr>
    </w:lvl>
  </w:abstractNum>
  <w:abstractNum w:abstractNumId="11" w15:restartNumberingAfterBreak="0">
    <w:nsid w:val="6A10463E"/>
    <w:multiLevelType w:val="hybridMultilevel"/>
    <w:tmpl w:val="F4E21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676B75"/>
    <w:multiLevelType w:val="hybridMultilevel"/>
    <w:tmpl w:val="22E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D9662F"/>
    <w:multiLevelType w:val="hybridMultilevel"/>
    <w:tmpl w:val="E7265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4"/>
  </w:num>
  <w:num w:numId="8">
    <w:abstractNumId w:val="12"/>
  </w:num>
  <w:num w:numId="9">
    <w:abstractNumId w:val="2"/>
  </w:num>
  <w:num w:numId="10">
    <w:abstractNumId w:val="10"/>
  </w:num>
  <w:num w:numId="11">
    <w:abstractNumId w:val="6"/>
  </w:num>
  <w:num w:numId="12">
    <w:abstractNumId w:val="1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4C6"/>
    <w:rsid w:val="0003002F"/>
    <w:rsid w:val="000334C2"/>
    <w:rsid w:val="00033EC3"/>
    <w:rsid w:val="00052897"/>
    <w:rsid w:val="00056285"/>
    <w:rsid w:val="00085736"/>
    <w:rsid w:val="0009314E"/>
    <w:rsid w:val="000C08B4"/>
    <w:rsid w:val="000C2673"/>
    <w:rsid w:val="000C4199"/>
    <w:rsid w:val="000D269D"/>
    <w:rsid w:val="000D3AAA"/>
    <w:rsid w:val="000D3E89"/>
    <w:rsid w:val="000D577B"/>
    <w:rsid w:val="000E51CE"/>
    <w:rsid w:val="000F1406"/>
    <w:rsid w:val="00113655"/>
    <w:rsid w:val="00142F8C"/>
    <w:rsid w:val="00144D3A"/>
    <w:rsid w:val="0015533F"/>
    <w:rsid w:val="00161165"/>
    <w:rsid w:val="0018326E"/>
    <w:rsid w:val="001839F0"/>
    <w:rsid w:val="00192857"/>
    <w:rsid w:val="001A1D29"/>
    <w:rsid w:val="001C146E"/>
    <w:rsid w:val="001F1473"/>
    <w:rsid w:val="00214B9B"/>
    <w:rsid w:val="00221A87"/>
    <w:rsid w:val="00233686"/>
    <w:rsid w:val="0023399D"/>
    <w:rsid w:val="00240ED2"/>
    <w:rsid w:val="002474E8"/>
    <w:rsid w:val="00262409"/>
    <w:rsid w:val="00264575"/>
    <w:rsid w:val="00282A48"/>
    <w:rsid w:val="002864C6"/>
    <w:rsid w:val="002945F2"/>
    <w:rsid w:val="002A1AE9"/>
    <w:rsid w:val="002B07E4"/>
    <w:rsid w:val="002B4EB6"/>
    <w:rsid w:val="002B773D"/>
    <w:rsid w:val="002F6F41"/>
    <w:rsid w:val="00300711"/>
    <w:rsid w:val="003118DD"/>
    <w:rsid w:val="00317ABE"/>
    <w:rsid w:val="003253D8"/>
    <w:rsid w:val="00330663"/>
    <w:rsid w:val="00333A29"/>
    <w:rsid w:val="003404A3"/>
    <w:rsid w:val="00344811"/>
    <w:rsid w:val="003463D2"/>
    <w:rsid w:val="003902FD"/>
    <w:rsid w:val="003933A7"/>
    <w:rsid w:val="003B698E"/>
    <w:rsid w:val="003C584D"/>
    <w:rsid w:val="003C6F85"/>
    <w:rsid w:val="003D26FE"/>
    <w:rsid w:val="003E20E3"/>
    <w:rsid w:val="00413B5F"/>
    <w:rsid w:val="004157D8"/>
    <w:rsid w:val="00432B5E"/>
    <w:rsid w:val="00454853"/>
    <w:rsid w:val="004648AD"/>
    <w:rsid w:val="00471E64"/>
    <w:rsid w:val="00483C9B"/>
    <w:rsid w:val="004865BB"/>
    <w:rsid w:val="004868B3"/>
    <w:rsid w:val="0049298E"/>
    <w:rsid w:val="00492BBE"/>
    <w:rsid w:val="0049727B"/>
    <w:rsid w:val="004A197A"/>
    <w:rsid w:val="004A1A80"/>
    <w:rsid w:val="004B4499"/>
    <w:rsid w:val="004B6894"/>
    <w:rsid w:val="004C54A7"/>
    <w:rsid w:val="004F05E8"/>
    <w:rsid w:val="004F4759"/>
    <w:rsid w:val="0051047B"/>
    <w:rsid w:val="00530130"/>
    <w:rsid w:val="00540AC7"/>
    <w:rsid w:val="00546560"/>
    <w:rsid w:val="005503EC"/>
    <w:rsid w:val="00550D07"/>
    <w:rsid w:val="00555181"/>
    <w:rsid w:val="00571135"/>
    <w:rsid w:val="00571149"/>
    <w:rsid w:val="00585B0C"/>
    <w:rsid w:val="00590679"/>
    <w:rsid w:val="005A2492"/>
    <w:rsid w:val="005F3684"/>
    <w:rsid w:val="005F3E47"/>
    <w:rsid w:val="006045FE"/>
    <w:rsid w:val="00630FC1"/>
    <w:rsid w:val="00652BBE"/>
    <w:rsid w:val="006577B4"/>
    <w:rsid w:val="006601AD"/>
    <w:rsid w:val="006608B4"/>
    <w:rsid w:val="00663753"/>
    <w:rsid w:val="00683CD6"/>
    <w:rsid w:val="00690A89"/>
    <w:rsid w:val="006A12BC"/>
    <w:rsid w:val="006A3F8B"/>
    <w:rsid w:val="006B236E"/>
    <w:rsid w:val="006C762E"/>
    <w:rsid w:val="006E2BF8"/>
    <w:rsid w:val="007051BE"/>
    <w:rsid w:val="00706887"/>
    <w:rsid w:val="007279F8"/>
    <w:rsid w:val="00740F6C"/>
    <w:rsid w:val="007530C7"/>
    <w:rsid w:val="007646CC"/>
    <w:rsid w:val="00783BF7"/>
    <w:rsid w:val="00796AE3"/>
    <w:rsid w:val="007B4DFB"/>
    <w:rsid w:val="007D7CD6"/>
    <w:rsid w:val="007E4E00"/>
    <w:rsid w:val="007F150E"/>
    <w:rsid w:val="00806AC8"/>
    <w:rsid w:val="00812F91"/>
    <w:rsid w:val="00826B8C"/>
    <w:rsid w:val="00826EF5"/>
    <w:rsid w:val="0084242E"/>
    <w:rsid w:val="00852324"/>
    <w:rsid w:val="00867BD8"/>
    <w:rsid w:val="00872127"/>
    <w:rsid w:val="00892383"/>
    <w:rsid w:val="008B600A"/>
    <w:rsid w:val="008E0172"/>
    <w:rsid w:val="008E76D5"/>
    <w:rsid w:val="0095091E"/>
    <w:rsid w:val="009776BB"/>
    <w:rsid w:val="009A23EE"/>
    <w:rsid w:val="009A4AA0"/>
    <w:rsid w:val="009A7CC4"/>
    <w:rsid w:val="009C0C19"/>
    <w:rsid w:val="009C2361"/>
    <w:rsid w:val="009E317E"/>
    <w:rsid w:val="00A0394B"/>
    <w:rsid w:val="00A13F5B"/>
    <w:rsid w:val="00A3548E"/>
    <w:rsid w:val="00A71136"/>
    <w:rsid w:val="00A72E7F"/>
    <w:rsid w:val="00A7685A"/>
    <w:rsid w:val="00A86997"/>
    <w:rsid w:val="00A8715B"/>
    <w:rsid w:val="00AA3B92"/>
    <w:rsid w:val="00AB1EE5"/>
    <w:rsid w:val="00AC27AC"/>
    <w:rsid w:val="00AC44AC"/>
    <w:rsid w:val="00AC7323"/>
    <w:rsid w:val="00AD076F"/>
    <w:rsid w:val="00AE0703"/>
    <w:rsid w:val="00B1779A"/>
    <w:rsid w:val="00B20D35"/>
    <w:rsid w:val="00B25640"/>
    <w:rsid w:val="00B25E2A"/>
    <w:rsid w:val="00B27EB4"/>
    <w:rsid w:val="00B40A10"/>
    <w:rsid w:val="00B4783E"/>
    <w:rsid w:val="00B57D1F"/>
    <w:rsid w:val="00B71006"/>
    <w:rsid w:val="00B7321C"/>
    <w:rsid w:val="00B76AAE"/>
    <w:rsid w:val="00B82B76"/>
    <w:rsid w:val="00B860A1"/>
    <w:rsid w:val="00BA7B5F"/>
    <w:rsid w:val="00BB1B5E"/>
    <w:rsid w:val="00BC27D3"/>
    <w:rsid w:val="00BC7B93"/>
    <w:rsid w:val="00BD3C44"/>
    <w:rsid w:val="00BF3A59"/>
    <w:rsid w:val="00C01EAE"/>
    <w:rsid w:val="00C44A03"/>
    <w:rsid w:val="00C4737A"/>
    <w:rsid w:val="00C50061"/>
    <w:rsid w:val="00C645C9"/>
    <w:rsid w:val="00C82620"/>
    <w:rsid w:val="00C909AC"/>
    <w:rsid w:val="00C97644"/>
    <w:rsid w:val="00CE344A"/>
    <w:rsid w:val="00CE7E0B"/>
    <w:rsid w:val="00CF6DD1"/>
    <w:rsid w:val="00D007E5"/>
    <w:rsid w:val="00D05D92"/>
    <w:rsid w:val="00D2209C"/>
    <w:rsid w:val="00D24364"/>
    <w:rsid w:val="00D32B69"/>
    <w:rsid w:val="00D64E18"/>
    <w:rsid w:val="00D832EA"/>
    <w:rsid w:val="00D91956"/>
    <w:rsid w:val="00DE2141"/>
    <w:rsid w:val="00E002B4"/>
    <w:rsid w:val="00E025DB"/>
    <w:rsid w:val="00E06F4F"/>
    <w:rsid w:val="00E07F99"/>
    <w:rsid w:val="00E30703"/>
    <w:rsid w:val="00E34B4A"/>
    <w:rsid w:val="00E45DCF"/>
    <w:rsid w:val="00E4790D"/>
    <w:rsid w:val="00E50728"/>
    <w:rsid w:val="00E50C3C"/>
    <w:rsid w:val="00E7196F"/>
    <w:rsid w:val="00E77AFC"/>
    <w:rsid w:val="00EB01AA"/>
    <w:rsid w:val="00EC2918"/>
    <w:rsid w:val="00F04A85"/>
    <w:rsid w:val="00F11C82"/>
    <w:rsid w:val="00F24B35"/>
    <w:rsid w:val="00F316C0"/>
    <w:rsid w:val="00F325FA"/>
    <w:rsid w:val="00F40FE6"/>
    <w:rsid w:val="00F47CDC"/>
    <w:rsid w:val="00F56413"/>
    <w:rsid w:val="00F65775"/>
    <w:rsid w:val="00F70A4E"/>
    <w:rsid w:val="00F8742A"/>
    <w:rsid w:val="00F9664E"/>
    <w:rsid w:val="00FA6E48"/>
    <w:rsid w:val="00FB1D51"/>
    <w:rsid w:val="00FB5A06"/>
    <w:rsid w:val="00FC4996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E912FD5-6F13-4EDA-B11F-BDE2EC78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7E4"/>
  </w:style>
  <w:style w:type="paragraph" w:styleId="1">
    <w:name w:val="heading 1"/>
    <w:basedOn w:val="a"/>
    <w:link w:val="10"/>
    <w:uiPriority w:val="9"/>
    <w:qFormat/>
    <w:rsid w:val="001C14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2673"/>
    <w:pPr>
      <w:ind w:left="720"/>
      <w:contextualSpacing/>
    </w:pPr>
  </w:style>
  <w:style w:type="paragraph" w:customStyle="1" w:styleId="Default">
    <w:name w:val="Default"/>
    <w:rsid w:val="00492B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01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01EA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6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98E"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rsid w:val="004972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A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6E48"/>
  </w:style>
  <w:style w:type="paragraph" w:styleId="ab">
    <w:name w:val="footer"/>
    <w:basedOn w:val="a"/>
    <w:link w:val="ac"/>
    <w:uiPriority w:val="99"/>
    <w:unhideWhenUsed/>
    <w:rsid w:val="00FA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6E48"/>
  </w:style>
  <w:style w:type="paragraph" w:styleId="ad">
    <w:name w:val="Revision"/>
    <w:hidden/>
    <w:uiPriority w:val="99"/>
    <w:semiHidden/>
    <w:rsid w:val="006E2BF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C14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7051BE"/>
    <w:pPr>
      <w:tabs>
        <w:tab w:val="left" w:pos="440"/>
        <w:tab w:val="right" w:leader="dot" w:pos="948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8E76D5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af">
    <w:name w:val="No Spacing"/>
    <w:link w:val="af0"/>
    <w:uiPriority w:val="1"/>
    <w:qFormat/>
    <w:rsid w:val="008E76D5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8E76D5"/>
    <w:rPr>
      <w:rFonts w:eastAsiaTheme="minorEastAsia"/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144D3A"/>
    <w:pPr>
      <w:tabs>
        <w:tab w:val="left" w:pos="880"/>
        <w:tab w:val="right" w:leader="dot" w:pos="9486"/>
      </w:tabs>
      <w:spacing w:after="0"/>
      <w:ind w:left="220"/>
    </w:pPr>
  </w:style>
  <w:style w:type="character" w:styleId="af1">
    <w:name w:val="Strong"/>
    <w:basedOn w:val="a0"/>
    <w:uiPriority w:val="22"/>
    <w:qFormat/>
    <w:rsid w:val="004868B3"/>
    <w:rPr>
      <w:b/>
      <w:bCs/>
    </w:rPr>
  </w:style>
  <w:style w:type="character" w:customStyle="1" w:styleId="apple-converted-space">
    <w:name w:val="apple-converted-space"/>
    <w:basedOn w:val="a0"/>
    <w:rsid w:val="00AC4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161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2844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5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3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5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612369">
                              <w:marLeft w:val="45"/>
                              <w:marRight w:val="45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6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29518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9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FD5AE0298AB1B47EBC6AFFE8B2BA3B44869685DA9412078E4EE58BE74C128B03551DFF37907FF29DD5B71128BBEF17CC54E54D126055EEz5p3P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azpromenergo.gazprom.ru/investors/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zpromenergo.gazprom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42F0F45B81BD794A377B40038242135164D94FB96589B28CDFC99E732E833347AB512F939B7743042B0A41F0F9D82C98119420E8Aj7w2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FD5AE0298AB1B47EBC6AFFE8B2BA3B44869685DA9712078E4EE58BE74C128B03551DFF379078F595D5B71128BBEF17CC54E54D126055EEz5p3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8B445-5277-4E0D-8541-DC869AF96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16</Pages>
  <Words>6659</Words>
  <Characters>37959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Худяков Александр Сергеевич</cp:lastModifiedBy>
  <cp:revision>59</cp:revision>
  <cp:lastPrinted>2020-03-25T11:58:00Z</cp:lastPrinted>
  <dcterms:created xsi:type="dcterms:W3CDTF">2022-02-25T14:05:00Z</dcterms:created>
  <dcterms:modified xsi:type="dcterms:W3CDTF">2024-06-18T14:01:00Z</dcterms:modified>
</cp:coreProperties>
</file>