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5B863" w14:textId="77777777"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FF84E1" w14:textId="77777777"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99A08D" w14:textId="77777777"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B121F5" w14:textId="77777777"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707A96" w14:textId="77777777"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1BAA61" w14:textId="77777777"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641591" w14:textId="77777777"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9C3CB6" w14:textId="77777777"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D1CE37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47AA12" w14:textId="77777777" w:rsidR="009E0710" w:rsidRDefault="009E0710" w:rsidP="009E0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535440AA" w14:textId="77777777" w:rsidR="009E0710" w:rsidRPr="001F1473" w:rsidRDefault="009E0710" w:rsidP="009E0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проекту корректировки и</w:t>
      </w:r>
      <w:r w:rsidRPr="001F1473">
        <w:rPr>
          <w:rFonts w:ascii="Times New Roman" w:hAnsi="Times New Roman" w:cs="Times New Roman"/>
          <w:b/>
          <w:sz w:val="24"/>
          <w:szCs w:val="24"/>
        </w:rPr>
        <w:t>нвестиционной программ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6241A893" w14:textId="77777777" w:rsidR="009E0710" w:rsidRDefault="009E0710" w:rsidP="009E0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>ООО «Газпром энерго» в лице Центрального филиала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0BED020C" w14:textId="37C0F594" w:rsidR="009E0710" w:rsidRDefault="009E0710" w:rsidP="009E0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утвержденной распоряжением Правительства Тульской области от 04.10.2021 № 504-р (ред. от </w:t>
      </w:r>
      <w:r w:rsidR="00867BE5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867BE5">
        <w:rPr>
          <w:rFonts w:ascii="Times New Roman" w:hAnsi="Times New Roman" w:cs="Times New Roman"/>
          <w:b/>
          <w:sz w:val="24"/>
          <w:szCs w:val="24"/>
        </w:rPr>
        <w:t>08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867BE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67BE5">
        <w:rPr>
          <w:rFonts w:ascii="Times New Roman" w:hAnsi="Times New Roman" w:cs="Times New Roman"/>
          <w:b/>
          <w:sz w:val="24"/>
          <w:szCs w:val="24"/>
        </w:rPr>
        <w:t>443</w:t>
      </w:r>
      <w:r>
        <w:rPr>
          <w:rFonts w:ascii="Times New Roman" w:hAnsi="Times New Roman" w:cs="Times New Roman"/>
          <w:b/>
          <w:sz w:val="24"/>
          <w:szCs w:val="24"/>
        </w:rPr>
        <w:t xml:space="preserve">-р) </w:t>
      </w:r>
    </w:p>
    <w:p w14:paraId="7C737AA4" w14:textId="1E743664" w:rsidR="00870B4F" w:rsidRDefault="009E0710" w:rsidP="009E0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2022-2026 годы</w:t>
      </w:r>
    </w:p>
    <w:p w14:paraId="7534DEE2" w14:textId="6D6E8F0B" w:rsidR="00870B4F" w:rsidRPr="00870B4F" w:rsidRDefault="00870B4F" w:rsidP="00870B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9E0710">
        <w:rPr>
          <w:rFonts w:ascii="Times New Roman" w:hAnsi="Times New Roman" w:cs="Times New Roman"/>
          <w:b/>
          <w:sz w:val="24"/>
          <w:szCs w:val="24"/>
        </w:rPr>
        <w:t>реализации и</w:t>
      </w:r>
      <w:r w:rsidRPr="00870B4F">
        <w:rPr>
          <w:rFonts w:ascii="Times New Roman" w:hAnsi="Times New Roman" w:cs="Times New Roman"/>
          <w:b/>
          <w:sz w:val="24"/>
          <w:szCs w:val="24"/>
        </w:rPr>
        <w:t xml:space="preserve">нвестиционного проекта </w:t>
      </w:r>
      <w:r w:rsidRPr="00D95DAA">
        <w:rPr>
          <w:rFonts w:ascii="Times New Roman" w:hAnsi="Times New Roman" w:cs="Times New Roman"/>
          <w:b/>
          <w:sz w:val="24"/>
          <w:szCs w:val="24"/>
        </w:rPr>
        <w:t>на 202</w:t>
      </w:r>
      <w:r w:rsidR="009E0710">
        <w:rPr>
          <w:rFonts w:ascii="Times New Roman" w:hAnsi="Times New Roman" w:cs="Times New Roman"/>
          <w:b/>
          <w:sz w:val="24"/>
          <w:szCs w:val="24"/>
        </w:rPr>
        <w:t>4</w:t>
      </w:r>
      <w:r w:rsidR="000C0412" w:rsidRPr="00D95DAA">
        <w:rPr>
          <w:rFonts w:ascii="Times New Roman" w:hAnsi="Times New Roman" w:cs="Times New Roman"/>
          <w:b/>
          <w:sz w:val="24"/>
          <w:szCs w:val="24"/>
        </w:rPr>
        <w:t>-202</w:t>
      </w:r>
      <w:r w:rsidR="00867BE5">
        <w:rPr>
          <w:rFonts w:ascii="Times New Roman" w:hAnsi="Times New Roman" w:cs="Times New Roman"/>
          <w:b/>
          <w:sz w:val="24"/>
          <w:szCs w:val="24"/>
        </w:rPr>
        <w:t>6</w:t>
      </w:r>
      <w:r w:rsidRPr="00D95DA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870B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857874E" w14:textId="77777777" w:rsidR="00870B4F" w:rsidRDefault="00870B4F" w:rsidP="00870B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B4F">
        <w:rPr>
          <w:rFonts w:ascii="Times New Roman" w:hAnsi="Times New Roman" w:cs="Times New Roman"/>
          <w:b/>
          <w:sz w:val="24"/>
          <w:szCs w:val="24"/>
        </w:rPr>
        <w:t xml:space="preserve">«Интеллектуальная система учета электроэнергии Центрального филиала </w:t>
      </w:r>
    </w:p>
    <w:p w14:paraId="20EE70E9" w14:textId="77777777" w:rsidR="00870B4F" w:rsidRPr="00870B4F" w:rsidRDefault="00870B4F" w:rsidP="00870B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B4F">
        <w:rPr>
          <w:rFonts w:ascii="Times New Roman" w:hAnsi="Times New Roman" w:cs="Times New Roman"/>
          <w:b/>
          <w:sz w:val="24"/>
          <w:szCs w:val="24"/>
        </w:rPr>
        <w:t>ООО «Газпром энерго» в Тульской области»,</w:t>
      </w:r>
    </w:p>
    <w:p w14:paraId="766E6F9C" w14:textId="77777777" w:rsidR="00870B4F" w:rsidRPr="00870B4F" w:rsidRDefault="00870B4F" w:rsidP="00870B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B4F">
        <w:rPr>
          <w:rFonts w:ascii="Times New Roman" w:hAnsi="Times New Roman" w:cs="Times New Roman"/>
          <w:b/>
          <w:sz w:val="24"/>
          <w:szCs w:val="24"/>
        </w:rPr>
        <w:t>идентификатор инвестиционного проекта L_ПУ23/1</w:t>
      </w:r>
    </w:p>
    <w:p w14:paraId="05BCB321" w14:textId="77777777" w:rsidR="00870B4F" w:rsidRPr="00870B4F" w:rsidRDefault="00870B4F" w:rsidP="00870B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30AB6B" w14:textId="77777777" w:rsidR="000C2673" w:rsidRPr="00870B4F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2CE4B6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4F06D6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C62F29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0C15A2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A6A43E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95C5D5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D33925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442631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7A1944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281C05" w14:textId="77777777" w:rsidR="000C26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C7CF3F" w14:textId="77777777"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67F3A" w14:textId="77777777"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2B97A8" w14:textId="77777777"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65DBBA" w14:textId="77777777"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AB444A" w14:textId="77777777"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679CEF" w14:textId="77777777"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FC2C54" w14:textId="77777777"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3D7280" w14:textId="77777777"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E661F" w14:textId="77777777"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80BA5C" w14:textId="77777777" w:rsidR="002B773D" w:rsidRPr="001F1473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7A2215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7A3E1F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ADF179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156A00" w14:textId="423B1F52" w:rsidR="000C2673" w:rsidRPr="005B69AD" w:rsidRDefault="008E76D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>г. Серпухов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1777070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69060F0" w14:textId="77777777" w:rsidR="008E76D5" w:rsidRPr="001F1473" w:rsidRDefault="008E76D5" w:rsidP="005F3684">
          <w:pPr>
            <w:pStyle w:val="ae"/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1F1473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14:paraId="6886DBA4" w14:textId="77777777" w:rsidR="00944084" w:rsidRDefault="008E76D5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F1473">
            <w:fldChar w:fldCharType="begin"/>
          </w:r>
          <w:r w:rsidRPr="001F1473">
            <w:instrText xml:space="preserve"> TOC \o "1-3" \h \z \u </w:instrText>
          </w:r>
          <w:r w:rsidRPr="001F1473">
            <w:fldChar w:fldCharType="separate"/>
          </w:r>
          <w:hyperlink w:anchor="_Toc164869827" w:history="1">
            <w:r w:rsidR="00944084" w:rsidRPr="00CA0F84">
              <w:rPr>
                <w:rStyle w:val="a6"/>
                <w:noProof/>
              </w:rPr>
              <w:t>Введение</w:t>
            </w:r>
            <w:r w:rsidR="00944084">
              <w:rPr>
                <w:noProof/>
                <w:webHidden/>
              </w:rPr>
              <w:tab/>
            </w:r>
            <w:r w:rsidR="00944084">
              <w:rPr>
                <w:noProof/>
                <w:webHidden/>
              </w:rPr>
              <w:fldChar w:fldCharType="begin"/>
            </w:r>
            <w:r w:rsidR="00944084">
              <w:rPr>
                <w:noProof/>
                <w:webHidden/>
              </w:rPr>
              <w:instrText xml:space="preserve"> PAGEREF _Toc164869827 \h </w:instrText>
            </w:r>
            <w:r w:rsidR="00944084">
              <w:rPr>
                <w:noProof/>
                <w:webHidden/>
              </w:rPr>
            </w:r>
            <w:r w:rsidR="00944084">
              <w:rPr>
                <w:noProof/>
                <w:webHidden/>
              </w:rPr>
              <w:fldChar w:fldCharType="separate"/>
            </w:r>
            <w:r w:rsidR="00944084">
              <w:rPr>
                <w:noProof/>
                <w:webHidden/>
              </w:rPr>
              <w:t>3</w:t>
            </w:r>
            <w:r w:rsidR="00944084">
              <w:rPr>
                <w:noProof/>
                <w:webHidden/>
              </w:rPr>
              <w:fldChar w:fldCharType="end"/>
            </w:r>
          </w:hyperlink>
        </w:p>
        <w:p w14:paraId="18A51286" w14:textId="77777777" w:rsidR="00944084" w:rsidRDefault="009C7011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869828" w:history="1">
            <w:r w:rsidR="00944084" w:rsidRPr="00CA0F84">
              <w:rPr>
                <w:rStyle w:val="a6"/>
                <w:b/>
                <w:bCs/>
                <w:noProof/>
                <w:kern w:val="36"/>
              </w:rPr>
              <w:t>1.</w:t>
            </w:r>
            <w:r w:rsidR="0094408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44084" w:rsidRPr="00CA0F84">
              <w:rPr>
                <w:rStyle w:val="a6"/>
                <w:b/>
                <w:bCs/>
                <w:noProof/>
                <w:kern w:val="36"/>
              </w:rPr>
              <w:t>Обоснование реализации мероприятия по Инвестиционной программе «Интеллектуальная система учета электроэнергии Центрального филиала ООО "Газпром энерго" в Тульской области»</w:t>
            </w:r>
            <w:r w:rsidR="00944084">
              <w:rPr>
                <w:noProof/>
                <w:webHidden/>
              </w:rPr>
              <w:tab/>
            </w:r>
            <w:r w:rsidR="00944084">
              <w:rPr>
                <w:noProof/>
                <w:webHidden/>
              </w:rPr>
              <w:fldChar w:fldCharType="begin"/>
            </w:r>
            <w:r w:rsidR="00944084">
              <w:rPr>
                <w:noProof/>
                <w:webHidden/>
              </w:rPr>
              <w:instrText xml:space="preserve"> PAGEREF _Toc164869828 \h </w:instrText>
            </w:r>
            <w:r w:rsidR="00944084">
              <w:rPr>
                <w:noProof/>
                <w:webHidden/>
              </w:rPr>
            </w:r>
            <w:r w:rsidR="00944084">
              <w:rPr>
                <w:noProof/>
                <w:webHidden/>
              </w:rPr>
              <w:fldChar w:fldCharType="separate"/>
            </w:r>
            <w:r w:rsidR="00944084">
              <w:rPr>
                <w:noProof/>
                <w:webHidden/>
              </w:rPr>
              <w:t>4</w:t>
            </w:r>
            <w:r w:rsidR="00944084">
              <w:rPr>
                <w:noProof/>
                <w:webHidden/>
              </w:rPr>
              <w:fldChar w:fldCharType="end"/>
            </w:r>
          </w:hyperlink>
        </w:p>
        <w:p w14:paraId="0FC46065" w14:textId="77777777" w:rsidR="00944084" w:rsidRDefault="009C7011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869829" w:history="1">
            <w:r w:rsidR="00944084" w:rsidRPr="00CA0F84">
              <w:rPr>
                <w:rStyle w:val="a6"/>
                <w:b/>
                <w:noProof/>
              </w:rPr>
              <w:t>2.</w:t>
            </w:r>
            <w:r w:rsidR="0094408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44084" w:rsidRPr="00CA0F84">
              <w:rPr>
                <w:rStyle w:val="a6"/>
                <w:b/>
                <w:noProof/>
              </w:rPr>
              <w:t>Описание оборудования, программного обеспечения инвестиционного проекта (L_ПУ23/1)  «Интеллектуальная система учета электроэнергии Центрального филиала ООО "Газпром энерго" в Тульской области»</w:t>
            </w:r>
            <w:r w:rsidR="00944084">
              <w:rPr>
                <w:noProof/>
                <w:webHidden/>
              </w:rPr>
              <w:tab/>
            </w:r>
            <w:r w:rsidR="00944084">
              <w:rPr>
                <w:noProof/>
                <w:webHidden/>
              </w:rPr>
              <w:fldChar w:fldCharType="begin"/>
            </w:r>
            <w:r w:rsidR="00944084">
              <w:rPr>
                <w:noProof/>
                <w:webHidden/>
              </w:rPr>
              <w:instrText xml:space="preserve"> PAGEREF _Toc164869829 \h </w:instrText>
            </w:r>
            <w:r w:rsidR="00944084">
              <w:rPr>
                <w:noProof/>
                <w:webHidden/>
              </w:rPr>
            </w:r>
            <w:r w:rsidR="00944084">
              <w:rPr>
                <w:noProof/>
                <w:webHidden/>
              </w:rPr>
              <w:fldChar w:fldCharType="separate"/>
            </w:r>
            <w:r w:rsidR="00944084">
              <w:rPr>
                <w:noProof/>
                <w:webHidden/>
              </w:rPr>
              <w:t>10</w:t>
            </w:r>
            <w:r w:rsidR="00944084">
              <w:rPr>
                <w:noProof/>
                <w:webHidden/>
              </w:rPr>
              <w:fldChar w:fldCharType="end"/>
            </w:r>
          </w:hyperlink>
        </w:p>
        <w:p w14:paraId="7BB2C1A1" w14:textId="77777777" w:rsidR="00944084" w:rsidRDefault="009C7011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869830" w:history="1">
            <w:r w:rsidR="00944084" w:rsidRPr="00CA0F84">
              <w:rPr>
                <w:rStyle w:val="a6"/>
                <w:b/>
                <w:noProof/>
              </w:rPr>
              <w:t>3.</w:t>
            </w:r>
            <w:r w:rsidR="0094408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44084" w:rsidRPr="00CA0F84">
              <w:rPr>
                <w:rStyle w:val="a6"/>
                <w:b/>
                <w:noProof/>
              </w:rPr>
              <w:t xml:space="preserve">Порядок расчета количественных показателей </w:t>
            </w:r>
            <w:r w:rsidR="00944084" w:rsidRPr="00CA0F84">
              <w:rPr>
                <w:rStyle w:val="a6"/>
                <w:b/>
                <w:bCs/>
                <w:noProof/>
                <w:kern w:val="36"/>
              </w:rPr>
              <w:t xml:space="preserve">мероприятия по Инвестиционной </w:t>
            </w:r>
            <w:r w:rsidR="00944084" w:rsidRPr="00CA0F84">
              <w:rPr>
                <w:rStyle w:val="a6"/>
                <w:b/>
                <w:noProof/>
              </w:rPr>
              <w:t>программе «Интеллектуальная система учета электроэнергии Центрального филиала ООО "Газпром энерго" в Тульской области»</w:t>
            </w:r>
            <w:r w:rsidR="00944084">
              <w:rPr>
                <w:noProof/>
                <w:webHidden/>
              </w:rPr>
              <w:tab/>
            </w:r>
            <w:r w:rsidR="00944084">
              <w:rPr>
                <w:noProof/>
                <w:webHidden/>
              </w:rPr>
              <w:fldChar w:fldCharType="begin"/>
            </w:r>
            <w:r w:rsidR="00944084">
              <w:rPr>
                <w:noProof/>
                <w:webHidden/>
              </w:rPr>
              <w:instrText xml:space="preserve"> PAGEREF _Toc164869830 \h </w:instrText>
            </w:r>
            <w:r w:rsidR="00944084">
              <w:rPr>
                <w:noProof/>
                <w:webHidden/>
              </w:rPr>
            </w:r>
            <w:r w:rsidR="00944084">
              <w:rPr>
                <w:noProof/>
                <w:webHidden/>
              </w:rPr>
              <w:fldChar w:fldCharType="separate"/>
            </w:r>
            <w:r w:rsidR="00944084">
              <w:rPr>
                <w:noProof/>
                <w:webHidden/>
              </w:rPr>
              <w:t>14</w:t>
            </w:r>
            <w:r w:rsidR="00944084">
              <w:rPr>
                <w:noProof/>
                <w:webHidden/>
              </w:rPr>
              <w:fldChar w:fldCharType="end"/>
            </w:r>
          </w:hyperlink>
        </w:p>
        <w:p w14:paraId="13BB2D82" w14:textId="77777777" w:rsidR="00944084" w:rsidRDefault="009C7011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869831" w:history="1">
            <w:r w:rsidR="00944084" w:rsidRPr="00CA0F84">
              <w:rPr>
                <w:rStyle w:val="a6"/>
                <w:b/>
                <w:noProof/>
              </w:rPr>
              <w:t>4.</w:t>
            </w:r>
            <w:r w:rsidR="0094408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44084" w:rsidRPr="00CA0F84">
              <w:rPr>
                <w:rStyle w:val="a6"/>
                <w:b/>
                <w:noProof/>
              </w:rPr>
              <w:t>Планируемые расходы на реализацию мероприятия «Создание интеллектуальной системы учета электроэнергии Центрального филиала ООО "Газпром энерго" в Тульской области» с распределением по годам</w:t>
            </w:r>
            <w:r w:rsidR="00944084">
              <w:rPr>
                <w:noProof/>
                <w:webHidden/>
              </w:rPr>
              <w:tab/>
            </w:r>
            <w:r w:rsidR="00944084">
              <w:rPr>
                <w:noProof/>
                <w:webHidden/>
              </w:rPr>
              <w:fldChar w:fldCharType="begin"/>
            </w:r>
            <w:r w:rsidR="00944084">
              <w:rPr>
                <w:noProof/>
                <w:webHidden/>
              </w:rPr>
              <w:instrText xml:space="preserve"> PAGEREF _Toc164869831 \h </w:instrText>
            </w:r>
            <w:r w:rsidR="00944084">
              <w:rPr>
                <w:noProof/>
                <w:webHidden/>
              </w:rPr>
            </w:r>
            <w:r w:rsidR="00944084">
              <w:rPr>
                <w:noProof/>
                <w:webHidden/>
              </w:rPr>
              <w:fldChar w:fldCharType="separate"/>
            </w:r>
            <w:r w:rsidR="00944084">
              <w:rPr>
                <w:noProof/>
                <w:webHidden/>
              </w:rPr>
              <w:t>14</w:t>
            </w:r>
            <w:r w:rsidR="00944084">
              <w:rPr>
                <w:noProof/>
                <w:webHidden/>
              </w:rPr>
              <w:fldChar w:fldCharType="end"/>
            </w:r>
          </w:hyperlink>
        </w:p>
        <w:p w14:paraId="0ECD9CFC" w14:textId="77777777" w:rsidR="00944084" w:rsidRDefault="009C7011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869832" w:history="1">
            <w:r w:rsidR="00944084" w:rsidRPr="00CA0F84">
              <w:rPr>
                <w:rStyle w:val="a6"/>
                <w:b/>
                <w:noProof/>
              </w:rPr>
              <w:t>5.</w:t>
            </w:r>
            <w:r w:rsidR="0094408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44084" w:rsidRPr="00CA0F84">
              <w:rPr>
                <w:rStyle w:val="a6"/>
                <w:b/>
                <w:noProof/>
              </w:rPr>
              <w:t>Информация, указанная в абзацах 12-18 стандартов раскрытия информации субъектами оптового и розничных рынков электрической энергии</w:t>
            </w:r>
            <w:r w:rsidR="00944084">
              <w:rPr>
                <w:noProof/>
                <w:webHidden/>
              </w:rPr>
              <w:tab/>
            </w:r>
            <w:r w:rsidR="00944084">
              <w:rPr>
                <w:noProof/>
                <w:webHidden/>
              </w:rPr>
              <w:fldChar w:fldCharType="begin"/>
            </w:r>
            <w:r w:rsidR="00944084">
              <w:rPr>
                <w:noProof/>
                <w:webHidden/>
              </w:rPr>
              <w:instrText xml:space="preserve"> PAGEREF _Toc164869832 \h </w:instrText>
            </w:r>
            <w:r w:rsidR="00944084">
              <w:rPr>
                <w:noProof/>
                <w:webHidden/>
              </w:rPr>
            </w:r>
            <w:r w:rsidR="00944084">
              <w:rPr>
                <w:noProof/>
                <w:webHidden/>
              </w:rPr>
              <w:fldChar w:fldCharType="separate"/>
            </w:r>
            <w:r w:rsidR="00944084">
              <w:rPr>
                <w:noProof/>
                <w:webHidden/>
              </w:rPr>
              <w:t>15</w:t>
            </w:r>
            <w:r w:rsidR="00944084">
              <w:rPr>
                <w:noProof/>
                <w:webHidden/>
              </w:rPr>
              <w:fldChar w:fldCharType="end"/>
            </w:r>
          </w:hyperlink>
        </w:p>
        <w:p w14:paraId="010C3157" w14:textId="77777777" w:rsidR="00944084" w:rsidRDefault="009C7011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869833" w:history="1">
            <w:r w:rsidR="00944084" w:rsidRPr="00CA0F84">
              <w:rPr>
                <w:rStyle w:val="a6"/>
                <w:b/>
                <w:noProof/>
              </w:rPr>
              <w:t>6.</w:t>
            </w:r>
            <w:r w:rsidR="0094408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44084" w:rsidRPr="00CA0F84">
              <w:rPr>
                <w:rStyle w:val="a6"/>
                <w:b/>
                <w:noProof/>
              </w:rPr>
              <w:t>Заключение о целях и результатах выполнения инвестиционных проектов</w:t>
            </w:r>
            <w:r w:rsidR="00944084">
              <w:rPr>
                <w:noProof/>
                <w:webHidden/>
              </w:rPr>
              <w:tab/>
            </w:r>
            <w:r w:rsidR="00944084">
              <w:rPr>
                <w:noProof/>
                <w:webHidden/>
              </w:rPr>
              <w:fldChar w:fldCharType="begin"/>
            </w:r>
            <w:r w:rsidR="00944084">
              <w:rPr>
                <w:noProof/>
                <w:webHidden/>
              </w:rPr>
              <w:instrText xml:space="preserve"> PAGEREF _Toc164869833 \h </w:instrText>
            </w:r>
            <w:r w:rsidR="00944084">
              <w:rPr>
                <w:noProof/>
                <w:webHidden/>
              </w:rPr>
            </w:r>
            <w:r w:rsidR="00944084">
              <w:rPr>
                <w:noProof/>
                <w:webHidden/>
              </w:rPr>
              <w:fldChar w:fldCharType="separate"/>
            </w:r>
            <w:r w:rsidR="00944084">
              <w:rPr>
                <w:noProof/>
                <w:webHidden/>
              </w:rPr>
              <w:t>16</w:t>
            </w:r>
            <w:r w:rsidR="00944084">
              <w:rPr>
                <w:noProof/>
                <w:webHidden/>
              </w:rPr>
              <w:fldChar w:fldCharType="end"/>
            </w:r>
          </w:hyperlink>
        </w:p>
        <w:p w14:paraId="4BCD7626" w14:textId="77777777" w:rsidR="00944084" w:rsidRDefault="009C7011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869834" w:history="1">
            <w:r w:rsidR="00944084" w:rsidRPr="00CA0F84">
              <w:rPr>
                <w:rStyle w:val="a6"/>
                <w:rFonts w:eastAsiaTheme="minorHAnsi"/>
                <w:b/>
                <w:noProof/>
                <w:lang w:eastAsia="en-US"/>
              </w:rPr>
              <w:t>7.</w:t>
            </w:r>
            <w:r w:rsidR="0094408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44084" w:rsidRPr="00CA0F84">
              <w:rPr>
                <w:rStyle w:val="a6"/>
                <w:rFonts w:eastAsiaTheme="minorHAnsi"/>
                <w:b/>
                <w:noProof/>
                <w:lang w:eastAsia="en-US"/>
              </w:rPr>
              <w:t>Контроль за реализацией инвестиционной программы</w:t>
            </w:r>
            <w:r w:rsidR="00944084">
              <w:rPr>
                <w:noProof/>
                <w:webHidden/>
              </w:rPr>
              <w:tab/>
            </w:r>
            <w:r w:rsidR="00944084">
              <w:rPr>
                <w:noProof/>
                <w:webHidden/>
              </w:rPr>
              <w:fldChar w:fldCharType="begin"/>
            </w:r>
            <w:r w:rsidR="00944084">
              <w:rPr>
                <w:noProof/>
                <w:webHidden/>
              </w:rPr>
              <w:instrText xml:space="preserve"> PAGEREF _Toc164869834 \h </w:instrText>
            </w:r>
            <w:r w:rsidR="00944084">
              <w:rPr>
                <w:noProof/>
                <w:webHidden/>
              </w:rPr>
            </w:r>
            <w:r w:rsidR="00944084">
              <w:rPr>
                <w:noProof/>
                <w:webHidden/>
              </w:rPr>
              <w:fldChar w:fldCharType="separate"/>
            </w:r>
            <w:r w:rsidR="00944084">
              <w:rPr>
                <w:noProof/>
                <w:webHidden/>
              </w:rPr>
              <w:t>16</w:t>
            </w:r>
            <w:r w:rsidR="00944084">
              <w:rPr>
                <w:noProof/>
                <w:webHidden/>
              </w:rPr>
              <w:fldChar w:fldCharType="end"/>
            </w:r>
          </w:hyperlink>
        </w:p>
        <w:p w14:paraId="243A7BB4" w14:textId="77777777" w:rsidR="00944084" w:rsidRDefault="009C7011">
          <w:pPr>
            <w:pStyle w:val="11"/>
            <w:tabs>
              <w:tab w:val="left" w:pos="44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869835" w:history="1">
            <w:r w:rsidR="00944084" w:rsidRPr="00CA0F84">
              <w:rPr>
                <w:rStyle w:val="a6"/>
                <w:b/>
                <w:noProof/>
              </w:rPr>
              <w:t>8.</w:t>
            </w:r>
            <w:r w:rsidR="0094408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44084" w:rsidRPr="00CA0F84">
              <w:rPr>
                <w:rStyle w:val="a6"/>
                <w:rFonts w:eastAsiaTheme="minorHAnsi"/>
                <w:b/>
                <w:noProof/>
                <w:lang w:eastAsia="en-US"/>
              </w:rPr>
              <w:t>Поадресный перечень планируемых к установке 15 ПУ взамен ПУ, не отвечающим требованиям законодательства РФ</w:t>
            </w:r>
            <w:r w:rsidR="00944084">
              <w:rPr>
                <w:noProof/>
                <w:webHidden/>
              </w:rPr>
              <w:tab/>
            </w:r>
            <w:r w:rsidR="00944084">
              <w:rPr>
                <w:noProof/>
                <w:webHidden/>
              </w:rPr>
              <w:fldChar w:fldCharType="begin"/>
            </w:r>
            <w:r w:rsidR="00944084">
              <w:rPr>
                <w:noProof/>
                <w:webHidden/>
              </w:rPr>
              <w:instrText xml:space="preserve"> PAGEREF _Toc164869835 \h </w:instrText>
            </w:r>
            <w:r w:rsidR="00944084">
              <w:rPr>
                <w:noProof/>
                <w:webHidden/>
              </w:rPr>
            </w:r>
            <w:r w:rsidR="00944084">
              <w:rPr>
                <w:noProof/>
                <w:webHidden/>
              </w:rPr>
              <w:fldChar w:fldCharType="separate"/>
            </w:r>
            <w:r w:rsidR="00944084">
              <w:rPr>
                <w:noProof/>
                <w:webHidden/>
              </w:rPr>
              <w:t>17</w:t>
            </w:r>
            <w:r w:rsidR="00944084">
              <w:rPr>
                <w:noProof/>
                <w:webHidden/>
              </w:rPr>
              <w:fldChar w:fldCharType="end"/>
            </w:r>
          </w:hyperlink>
        </w:p>
        <w:p w14:paraId="72A87CE8" w14:textId="77777777" w:rsidR="00944084" w:rsidRDefault="009C7011">
          <w:pPr>
            <w:pStyle w:val="11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4869836" w:history="1">
            <w:r w:rsidR="00944084" w:rsidRPr="00CA0F84">
              <w:rPr>
                <w:rStyle w:val="a6"/>
                <w:rFonts w:eastAsiaTheme="minorHAnsi"/>
                <w:b/>
                <w:noProof/>
                <w:lang w:eastAsia="en-US"/>
              </w:rPr>
              <w:t>Заключение</w:t>
            </w:r>
            <w:r w:rsidR="00944084">
              <w:rPr>
                <w:noProof/>
                <w:webHidden/>
              </w:rPr>
              <w:tab/>
            </w:r>
            <w:r w:rsidR="00944084">
              <w:rPr>
                <w:noProof/>
                <w:webHidden/>
              </w:rPr>
              <w:fldChar w:fldCharType="begin"/>
            </w:r>
            <w:r w:rsidR="00944084">
              <w:rPr>
                <w:noProof/>
                <w:webHidden/>
              </w:rPr>
              <w:instrText xml:space="preserve"> PAGEREF _Toc164869836 \h </w:instrText>
            </w:r>
            <w:r w:rsidR="00944084">
              <w:rPr>
                <w:noProof/>
                <w:webHidden/>
              </w:rPr>
            </w:r>
            <w:r w:rsidR="00944084">
              <w:rPr>
                <w:noProof/>
                <w:webHidden/>
              </w:rPr>
              <w:fldChar w:fldCharType="separate"/>
            </w:r>
            <w:r w:rsidR="00944084">
              <w:rPr>
                <w:noProof/>
                <w:webHidden/>
              </w:rPr>
              <w:t>17</w:t>
            </w:r>
            <w:r w:rsidR="00944084">
              <w:rPr>
                <w:noProof/>
                <w:webHidden/>
              </w:rPr>
              <w:fldChar w:fldCharType="end"/>
            </w:r>
          </w:hyperlink>
        </w:p>
        <w:p w14:paraId="69F88E39" w14:textId="1DCB1307" w:rsidR="008E76D5" w:rsidRPr="001F1473" w:rsidRDefault="008E76D5" w:rsidP="005F3684">
          <w:pPr>
            <w:spacing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F147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7F7510DF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1537FE" w14:textId="77777777"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11E436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6CDCC3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5DE2F5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D89ABB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B4EDF3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939F9" w14:textId="77777777" w:rsidR="00113655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D1F63A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DFD0C8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596DF6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DC4005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90EEDC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284F1C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6F88D6" w14:textId="77777777" w:rsidR="005F3684" w:rsidRPr="001F1473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E16543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F6AE47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88CC36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EF52E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E0BD14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C27A2A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D56530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97CAAA" w14:textId="77777777" w:rsidR="00113655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46A8A2" w14:textId="77777777" w:rsidR="00BA154C" w:rsidRPr="001F1473" w:rsidRDefault="00BA154C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C036A1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FC87EC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F71C83" w14:textId="77777777"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D94C6" w14:textId="77777777" w:rsidR="001D3D8E" w:rsidRDefault="001D3D8E" w:rsidP="005F3684">
      <w:pPr>
        <w:pStyle w:val="1"/>
        <w:jc w:val="center"/>
        <w:rPr>
          <w:sz w:val="24"/>
          <w:szCs w:val="24"/>
        </w:rPr>
      </w:pPr>
    </w:p>
    <w:p w14:paraId="461138D6" w14:textId="77777777" w:rsidR="000C2673" w:rsidRPr="001F1473" w:rsidRDefault="00AA3B92" w:rsidP="005F3684">
      <w:pPr>
        <w:pStyle w:val="1"/>
        <w:jc w:val="center"/>
        <w:rPr>
          <w:b w:val="0"/>
          <w:sz w:val="24"/>
          <w:szCs w:val="24"/>
        </w:rPr>
      </w:pPr>
      <w:bookmarkStart w:id="0" w:name="_Toc164869827"/>
      <w:r>
        <w:rPr>
          <w:sz w:val="24"/>
          <w:szCs w:val="24"/>
        </w:rPr>
        <w:lastRenderedPageBreak/>
        <w:t>В</w:t>
      </w:r>
      <w:r w:rsidR="000C2673" w:rsidRPr="001F1473">
        <w:rPr>
          <w:sz w:val="24"/>
          <w:szCs w:val="24"/>
        </w:rPr>
        <w:t>ведение</w:t>
      </w:r>
      <w:bookmarkEnd w:id="0"/>
    </w:p>
    <w:p w14:paraId="1DBE3978" w14:textId="77777777"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ООО «Газпром энерго» - специализированная энергетическая дочерняя компания ПАО «Газпром» - осуществляет свою деятельность в 46 субъектах Российской Федерации.</w:t>
      </w:r>
    </w:p>
    <w:p w14:paraId="25AF6E43" w14:textId="77777777"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В соответствии со «Стратегией ПАО «Газпром» в электроэнергетике», принятой на 2018-2027 годы, ООО «Газпром энерго» является единой электросетевой компанией, обеспечивающей передачу электрической энергии (мощности).</w:t>
      </w:r>
    </w:p>
    <w:p w14:paraId="5625C69F" w14:textId="77777777"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Одним из основных видов деятельности ООО «Газпром энерго» на территории </w:t>
      </w:r>
      <w:r w:rsidR="009A7F5C">
        <w:rPr>
          <w:rFonts w:ascii="Times New Roman" w:hAnsi="Times New Roman" w:cs="Times New Roman"/>
          <w:sz w:val="24"/>
          <w:szCs w:val="24"/>
        </w:rPr>
        <w:t xml:space="preserve">Тульской области </w:t>
      </w:r>
      <w:r w:rsidRPr="001F1473">
        <w:rPr>
          <w:rFonts w:ascii="Times New Roman" w:hAnsi="Times New Roman" w:cs="Times New Roman"/>
          <w:sz w:val="24"/>
          <w:szCs w:val="24"/>
        </w:rPr>
        <w:t xml:space="preserve">являются услуги по передаче и распределению электрической энергии (мощности), технологическое присоединение (подключение) к электросетям, обеспечение работоспособности сетей (монтаж, ремонт и техническое обслуживание распределительных линий электропередачи и электротехнического оборудования). Услуга по передаче и распределению электрической энергии является регулируемым государством, поэтому основные параметры функционирования предприятия на год, в том числе и экономическая составляющая, определяются органом Государственного регулирования.  </w:t>
      </w:r>
    </w:p>
    <w:p w14:paraId="0241AA24" w14:textId="77777777"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Состав объектов энергоснабжения, находящихся в эксплуатации     </w:t>
      </w:r>
      <w:r w:rsidR="004A197A" w:rsidRPr="001F147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33A2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F1473">
        <w:rPr>
          <w:rFonts w:ascii="Times New Roman" w:hAnsi="Times New Roman" w:cs="Times New Roman"/>
          <w:sz w:val="24"/>
          <w:szCs w:val="24"/>
        </w:rPr>
        <w:t>ООО «Газпром энерго» по Тульской области, следующий:</w:t>
      </w:r>
    </w:p>
    <w:p w14:paraId="2C28DB88" w14:textId="77777777"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Ефремовский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район: ТП Котельная (инв. №0050304), ЗРУ-6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(инв. №0050300), ОРУ-110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КС-8 (инв. №0050409), ТП 6/10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КС-1 (инв. №107123), ТП СН (инв. №0050408), Внешнее электроснабжение КС-1 на компрессорной станции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Пожилинского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сельского округа (инв. 0106653);</w:t>
      </w:r>
    </w:p>
    <w:p w14:paraId="367AA994" w14:textId="77777777"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Тульская область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Ефремовский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район и д.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Чернятино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: ЦРП-10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(инв. 0020725), ТП - 0,4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в здании старой котельной (инв. 0020705), ТП - 0,4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в здании производственного корпуса (инв. 0020689), линии электропередачи (инв. 20765);</w:t>
      </w:r>
    </w:p>
    <w:p w14:paraId="1AC873F3" w14:textId="77777777" w:rsidR="00BC7B93" w:rsidRPr="001F1473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Щекинский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район, с. Пришня и п. Первомайский: КТП ФОК (инв. 48316), КТП Школа (инв. 0048354), ОРУ/ЗРУ 110/10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компрессорной станции КС-2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Щекинская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" (инв. 107242, 106278), ОРУ/ЗРУ 110/6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КС-9 (инв. 48222, 0048211), Линия электропередач для жилых домов с. Пришня (инв. 0048276), высоковольтная линия 6кВ с переводом на 10кВ (инв. 0048353), внешние сети электроснабжения к школе (инв. 0049085), Наружные сети электроснабжения из двух ЛЭП-10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и КЛ-04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длиной 215 м (инв. 00015600), Электроснабжение внешнее (кабельные линии электропередачи к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Новомосковской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автомобильной газонаполнительной станции (инв. 00015180), Электроснабжение внешнее (кабельные линии электропередачи к Тульской автомобильной газонаполнительной станции (инв. 00016004), ЛЭП-0,4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с. Пришня (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инв.номер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: 00017122), Кабельная линия 6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протяженность 700 м (инв. 00017252), Комплектная трансформаторная подстанция 160/6/0,4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(инв. 00017253) и др.</w:t>
      </w:r>
    </w:p>
    <w:p w14:paraId="1714FB4F" w14:textId="77777777" w:rsidR="00BC7B93" w:rsidRPr="001F1473" w:rsidRDefault="00BC7B93" w:rsidP="005F3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ab/>
        <w:t xml:space="preserve">Потребителями электроэнергии Тульской области являются объекты ПАО «Тулэнерго», Филиал ООО "Газпром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Москва" Тульское ЛПУМГ КС-9, </w:t>
      </w:r>
      <w:proofErr w:type="gramStart"/>
      <w:r w:rsidRPr="001F1473">
        <w:rPr>
          <w:rFonts w:ascii="Times New Roman" w:hAnsi="Times New Roman" w:cs="Times New Roman"/>
          <w:sz w:val="24"/>
          <w:szCs w:val="24"/>
        </w:rPr>
        <w:t>Филиал  ООО</w:t>
      </w:r>
      <w:proofErr w:type="gramEnd"/>
      <w:r w:rsidRPr="001F1473">
        <w:rPr>
          <w:rFonts w:ascii="Times New Roman" w:hAnsi="Times New Roman" w:cs="Times New Roman"/>
          <w:sz w:val="24"/>
          <w:szCs w:val="24"/>
        </w:rPr>
        <w:t xml:space="preserve"> "Газпром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Москва"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УМТСиК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, Филиал ООО "Газпром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Москва"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Ефремовское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УМГ,  Филиал ООО "Газпром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Москва"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Центравтогаз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>,  предприятия (ЗАО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Норси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транс", ОАО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Щекинская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городская электросеть", ООО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ПАРКойл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>-Тула", ООО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Солерс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>", ООО "Шар", ОКБ "Минерал", ООО "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Ферро"и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др.), а также население, школа, детский сад.</w:t>
      </w:r>
    </w:p>
    <w:p w14:paraId="1AF9CADC" w14:textId="77777777" w:rsidR="00BC7B93" w:rsidRDefault="00BC7B9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E8267F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19C868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29F168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1F0264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AB877A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79224C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258252" w14:textId="77777777"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054CEC" w14:textId="77777777" w:rsidR="005F3684" w:rsidRPr="001F1473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64B801" w14:textId="77777777" w:rsidR="003933A7" w:rsidRPr="00870B4F" w:rsidRDefault="004648AD" w:rsidP="00870B4F">
      <w:pPr>
        <w:pStyle w:val="a4"/>
        <w:numPr>
          <w:ilvl w:val="0"/>
          <w:numId w:val="10"/>
        </w:numPr>
        <w:tabs>
          <w:tab w:val="left" w:pos="31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1" w:name="_Toc164869828"/>
      <w:r w:rsidRPr="001F14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Обоснование реализации мероприятия по Инвестиционной программе</w:t>
      </w:r>
      <w:r w:rsidR="00870B4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3933A7" w:rsidRPr="00870B4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</w:t>
      </w:r>
      <w:r w:rsidR="00870B4F" w:rsidRPr="00870B4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Интеллектуальная система учета электроэнергии Центрального филиала ООО "Газпром энерго" в Тульской области</w:t>
      </w:r>
      <w:r w:rsidR="003933A7" w:rsidRPr="00870B4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»</w:t>
      </w:r>
      <w:bookmarkEnd w:id="1"/>
    </w:p>
    <w:p w14:paraId="03F3AFAC" w14:textId="77777777" w:rsidR="003933A7" w:rsidRPr="001F1473" w:rsidRDefault="003933A7" w:rsidP="005F3684">
      <w:pPr>
        <w:pStyle w:val="a4"/>
        <w:tabs>
          <w:tab w:val="left" w:pos="316"/>
        </w:tabs>
        <w:spacing w:after="0" w:line="240" w:lineRule="auto"/>
        <w:ind w:left="753"/>
        <w:outlineLvl w:val="1"/>
        <w:rPr>
          <w:rFonts w:ascii="Times New Roman" w:hAnsi="Times New Roman" w:cs="Times New Roman"/>
          <w:sz w:val="24"/>
          <w:szCs w:val="24"/>
        </w:rPr>
      </w:pPr>
    </w:p>
    <w:p w14:paraId="36A6FA87" w14:textId="77777777" w:rsidR="004648AD" w:rsidRPr="001F1473" w:rsidRDefault="004648AD" w:rsidP="005F3684">
      <w:pPr>
        <w:tabs>
          <w:tab w:val="left" w:pos="567"/>
        </w:tabs>
        <w:spacing w:after="0" w:line="240" w:lineRule="auto"/>
        <w:ind w:left="33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ab/>
      </w:r>
      <w:r w:rsidR="007E4E00" w:rsidRPr="001F1473">
        <w:rPr>
          <w:rFonts w:ascii="Times New Roman" w:hAnsi="Times New Roman" w:cs="Times New Roman"/>
          <w:sz w:val="24"/>
          <w:szCs w:val="24"/>
        </w:rPr>
        <w:t>Мероприятие инвестиционной программы ООО «Газпром энер</w:t>
      </w:r>
      <w:r w:rsidR="00221A87" w:rsidRPr="001F1473">
        <w:rPr>
          <w:rFonts w:ascii="Times New Roman" w:hAnsi="Times New Roman" w:cs="Times New Roman"/>
          <w:sz w:val="24"/>
          <w:szCs w:val="24"/>
        </w:rPr>
        <w:t>го» Центрального филиала включае</w:t>
      </w:r>
      <w:r w:rsidR="007E4E00" w:rsidRPr="001F1473">
        <w:rPr>
          <w:rFonts w:ascii="Times New Roman" w:hAnsi="Times New Roman" w:cs="Times New Roman"/>
          <w:sz w:val="24"/>
          <w:szCs w:val="24"/>
        </w:rPr>
        <w:t>т в себя мероприятие по созданию Интеллектуальной системы учета электроэнергии в Тульской области</w:t>
      </w:r>
      <w:r w:rsidRPr="001F1473">
        <w:rPr>
          <w:rFonts w:ascii="Times New Roman" w:hAnsi="Times New Roman" w:cs="Times New Roman"/>
          <w:sz w:val="24"/>
          <w:szCs w:val="24"/>
        </w:rPr>
        <w:t>.</w:t>
      </w:r>
    </w:p>
    <w:p w14:paraId="3EE5EADB" w14:textId="77777777" w:rsidR="007E4E00" w:rsidRPr="001F1473" w:rsidRDefault="004648AD" w:rsidP="005F3684">
      <w:pPr>
        <w:tabs>
          <w:tab w:val="left" w:pos="567"/>
        </w:tabs>
        <w:spacing w:after="0" w:line="240" w:lineRule="auto"/>
        <w:ind w:left="33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ab/>
      </w:r>
      <w:r w:rsidR="007E4E00" w:rsidRPr="001F1473">
        <w:rPr>
          <w:rFonts w:ascii="Times New Roman" w:hAnsi="Times New Roman" w:cs="Times New Roman"/>
          <w:sz w:val="24"/>
          <w:szCs w:val="24"/>
        </w:rPr>
        <w:t xml:space="preserve">Согласно п. 5 ст. 37 Федерального закона от 26.03.2003 N 35-ФЗ «Об электроэнергетике» (далее- 35-ФЗ) в редакции Федерального закона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коммерческий учет электрической энергии (мощности)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 </w:t>
      </w:r>
      <w:hyperlink r:id="rId8" w:history="1">
        <w:r w:rsidR="007E4E00" w:rsidRPr="001F14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7E4E00" w:rsidRPr="001F14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установленными в соответствии с жилищным законодательством, </w:t>
      </w:r>
      <w:hyperlink r:id="rId9" w:history="1">
        <w:r w:rsidR="007E4E00" w:rsidRPr="001F14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7E4E00" w:rsidRPr="001F1473">
        <w:rPr>
          <w:rFonts w:ascii="Times New Roman" w:hAnsi="Times New Roman" w:cs="Times New Roman"/>
          <w:sz w:val="24"/>
          <w:szCs w:val="24"/>
        </w:rPr>
        <w:t xml:space="preserve"> организации учета электрической энергии на розничных рынках, в том числе посредством интеллектуальных систем учета электрической энергии (мощности).</w:t>
      </w:r>
    </w:p>
    <w:p w14:paraId="156F96EC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Сетевые организации 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и последующую их эксплуатацию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 (мощности), приобретающих электрическую энергию на розничных рынках, объектов по производству электрической энергии (мощности) на розничных рынках и объектов электросетевого хозяйства, принадлежащих сетевым организациям и иным лицам,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сетевой организации, а также при технологическом присоединении таких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устройств, объектов по производству электрической энергии (мощности) и объектов электросетевого хозяйства, принадлежащих сетевым организациям и иным лицам, к объектам электросетевого хозяйства сетевой организации, за исключением коллективных (общедомовых) приборов учета электрической энергии. </w:t>
      </w:r>
    </w:p>
    <w:p w14:paraId="74FD9A85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По всем приборам учета электрической энергии, допускаемым (вводимым) в эксплуатацию с 1 января 2022 г. для целей коммерческого учета электрической энергии на розничных рынках электрической энергии и (или) предоставления коммунальных услуг по электроснабжению в соответствии с требованиями Федерального закона "Об электроэнергетике", сетевая организация и (или) гарантирующий поставщик (далее - владельцы интеллектуальных систем учета) обеспечивают безвозмездное предоставление возможности использования функций интеллектуальной системы учета в порядке, установленном настоящими Правилами, субъектам электроэнергетики и потребителям электрической энергии, в отношении которых они обеспечивают коммерческий учет электрической энергии (далее - пользователь интеллектуальной системы учета)</w:t>
      </w:r>
      <w:r w:rsidR="00282A48" w:rsidRPr="001F1473">
        <w:rPr>
          <w:rFonts w:ascii="Times New Roman" w:hAnsi="Times New Roman" w:cs="Times New Roman"/>
          <w:sz w:val="24"/>
          <w:szCs w:val="24"/>
        </w:rPr>
        <w:t>.</w:t>
      </w:r>
    </w:p>
    <w:p w14:paraId="401DE8C3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Пользователями интеллектуальных систем учета сетевых организаций являются</w:t>
      </w:r>
      <w:r w:rsidR="005F3684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Pr="001F1473">
        <w:rPr>
          <w:rFonts w:ascii="Times New Roman" w:hAnsi="Times New Roman" w:cs="Times New Roman"/>
          <w:sz w:val="24"/>
          <w:szCs w:val="24"/>
        </w:rPr>
        <w:t>:</w:t>
      </w:r>
      <w:r w:rsidR="005F3684">
        <w:rPr>
          <w:rFonts w:ascii="Times New Roman" w:hAnsi="Times New Roman" w:cs="Times New Roman"/>
          <w:sz w:val="24"/>
          <w:szCs w:val="24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 xml:space="preserve">сетевые организации - в отношении приборов учета электрической энергии, присоединенных к интеллектуальным системам учета, владельцами которых являются </w:t>
      </w:r>
      <w:r w:rsidRPr="001F1473">
        <w:rPr>
          <w:rFonts w:ascii="Times New Roman" w:hAnsi="Times New Roman" w:cs="Times New Roman"/>
          <w:sz w:val="24"/>
          <w:szCs w:val="24"/>
        </w:rPr>
        <w:lastRenderedPageBreak/>
        <w:t>смежные сетевые организации и которые используются для коммерческого учета электрической энергии (мощности) в точках поставки по заключенным такими сетевыми организациями договорам оказания услуг по передаче электрической энергии;</w:t>
      </w:r>
    </w:p>
    <w:p w14:paraId="567751D6" w14:textId="77777777" w:rsidR="007E4E00" w:rsidRPr="001F1473" w:rsidRDefault="00F26DFE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п.8 </w:t>
      </w:r>
      <w:r w:rsidR="00056285" w:rsidRPr="001F1473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РФ от 19.06.2020 №890 "О порядке предоставления доступа к минимальному набору функций интеллектуальных систем учета электрической энергии (мощности)" </w:t>
      </w:r>
      <w:r w:rsidR="007E4E00" w:rsidRPr="001F1473">
        <w:rPr>
          <w:rFonts w:ascii="Times New Roman" w:hAnsi="Times New Roman" w:cs="Times New Roman"/>
          <w:sz w:val="24"/>
          <w:szCs w:val="24"/>
        </w:rPr>
        <w:t>Владельцы интеллектуальных систем учета обязаны обеспечить пользователям интеллектуальных систем учета непрерывный доступ к минимальному набору функций интеллектуальных систем учета, в том числе:</w:t>
      </w:r>
    </w:p>
    <w:p w14:paraId="3A8B6625" w14:textId="77777777" w:rsidR="007E4E00" w:rsidRPr="001F1473" w:rsidRDefault="005F3684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E4E00" w:rsidRPr="001F1473">
        <w:rPr>
          <w:rFonts w:ascii="Times New Roman" w:hAnsi="Times New Roman" w:cs="Times New Roman"/>
          <w:sz w:val="24"/>
          <w:szCs w:val="24"/>
        </w:rPr>
        <w:t>при возникновении отказа в работе интеллектуальной системы учета обеспечить восстановление доступа не позднее 24 часов с момента обнаружения отказа владельцем интеллектуальной системы учета или получения сообщения от пользователей такой системы в отношении функций, указанных в подпунктах "е" и "ж"</w:t>
      </w:r>
      <w:r w:rsidR="00056285" w:rsidRPr="001F1473">
        <w:rPr>
          <w:rFonts w:ascii="Times New Roman" w:hAnsi="Times New Roman" w:cs="Times New Roman"/>
          <w:sz w:val="24"/>
          <w:szCs w:val="24"/>
        </w:rPr>
        <w:t>;</w:t>
      </w:r>
    </w:p>
    <w:p w14:paraId="10DA6665" w14:textId="77777777" w:rsidR="007E4E00" w:rsidRPr="001F1473" w:rsidRDefault="005F3684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E4E00" w:rsidRPr="001F1473">
        <w:rPr>
          <w:rFonts w:ascii="Times New Roman" w:hAnsi="Times New Roman" w:cs="Times New Roman"/>
          <w:sz w:val="24"/>
          <w:szCs w:val="24"/>
        </w:rPr>
        <w:t>при возникновении отказа в работе интеллектуальной системы учета обеспечить восстановление доступа в течение 7 дней со дня обнаружения отказа владельцем интеллектуальной системы учета или получения сообщения от пользователей такой системы в отношении функций, указанных в подпунктах "а" - "д". </w:t>
      </w:r>
    </w:p>
    <w:p w14:paraId="2596F913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Расходы сетевой организации, понесенные ею для исполнения обязательств, предусмотренных </w:t>
      </w:r>
      <w:hyperlink r:id="rId10" w:history="1">
        <w:r w:rsidRPr="001F1473">
          <w:rPr>
            <w:rFonts w:ascii="Times New Roman" w:hAnsi="Times New Roman" w:cs="Times New Roman"/>
            <w:sz w:val="24"/>
            <w:szCs w:val="24"/>
          </w:rPr>
          <w:t>пунктом 5 статьи 37</w:t>
        </w:r>
      </w:hyperlink>
      <w:r w:rsidRPr="001F1473">
        <w:rPr>
          <w:rFonts w:ascii="Times New Roman" w:hAnsi="Times New Roman" w:cs="Times New Roman"/>
          <w:sz w:val="24"/>
          <w:szCs w:val="24"/>
        </w:rPr>
        <w:t xml:space="preserve"> 35-ФЗ, подлежат включению в состав тарифа на услуги по передаче электрической энергии и (или) платы за технологическое присоединение в соответствии с законодательством Российской Федерации об электроэнергетике.</w:t>
      </w:r>
    </w:p>
    <w:p w14:paraId="2BDE1336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Проекты включают строительство интеллектуальных систем учета электроэнергии филиала ООО «Газпром энерго» в определенном регионе. Узлы учета электроэнергии входят в состав интеллектуальных систем, устанавливаемых на границе балансовой принадлежности, при этом предполагается замена узлов учета, не соответствующих требованиям текущего законодательства (постановление Правительства РФ </w:t>
      </w:r>
      <w:r w:rsidR="005F3684" w:rsidRPr="001F1473">
        <w:rPr>
          <w:rFonts w:ascii="Times New Roman" w:hAnsi="Times New Roman" w:cs="Times New Roman"/>
          <w:sz w:val="24"/>
          <w:szCs w:val="24"/>
        </w:rPr>
        <w:t xml:space="preserve">от 19.06.2020 </w:t>
      </w:r>
      <w:r w:rsidRPr="001F1473">
        <w:rPr>
          <w:rFonts w:ascii="Times New Roman" w:hAnsi="Times New Roman" w:cs="Times New Roman"/>
          <w:sz w:val="24"/>
          <w:szCs w:val="24"/>
        </w:rPr>
        <w:t xml:space="preserve">№890 «О порядке предоставления доступа к минимальному набору функций интеллектуальных систем учета электрической энергии (мощности)» утвердившим Правила предоставления доступа к минимальному набору функций интеллектуальных систем учета электрической энергии (мощности), далее Правила). </w:t>
      </w:r>
    </w:p>
    <w:p w14:paraId="0193D922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В состав передаваемых показаний и результатов измерений прибора учета электрической энергии, присоединенного к интеллектуальной системе учета, входят все показания и результаты измерений прибора учета электрической энергии, которые были использованы для формирования предоставляемой в соответствии с Правилами информации о количестве и иных параметрах электрической энергии. </w:t>
      </w:r>
    </w:p>
    <w:p w14:paraId="1FFDB104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В интеллектуальной системе учета для пользователей интеллектуальной системы учета должны быть реализованы следующие функции:</w:t>
      </w:r>
    </w:p>
    <w:p w14:paraId="627C9AC1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а) передача показаний и результатов измерений прибора учета электрической энергии, присоединенного к интеллектуальной системе учета;</w:t>
      </w:r>
    </w:p>
    <w:p w14:paraId="6149BB36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б) предоставление информации о количестве и иных параметрах электрической энергии;</w:t>
      </w:r>
    </w:p>
    <w:p w14:paraId="649FE7B9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в) полное и (или) частичное ограничение режима потребления электрической энергии (приостановление или ограничение предоставления коммунальной услуги), а также возобновление подачи электрической энергии;</w:t>
      </w:r>
    </w:p>
    <w:p w14:paraId="65898DA1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г) установление и изменение зон суток (часов, дней недели, месяцев), по которым прибором учета электрической энергии, присоединенным к интеллектуальной системе учета, осуществляется суммирование объемов электрической энергии в соответствии с дифференциацией тарифов (цен), предусмотренной законодательством Российской Федерации (далее - тарифные зоны);</w:t>
      </w:r>
    </w:p>
    <w:p w14:paraId="690B4921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д) передача данных о параметрах настройки и событиях, зафиксирован в соответствии с дифференциацией тарифов (цен), предусмотренной законодательством Российской Федерации (далее - тарифные зоны);</w:t>
      </w:r>
    </w:p>
    <w:p w14:paraId="7101698D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lastRenderedPageBreak/>
        <w:t>д) передача данных о параметрах настройки и событиях, зафиксированных прибором учета электрической энергии, присоединенным к интеллектуальной системе учета;</w:t>
      </w:r>
    </w:p>
    <w:p w14:paraId="5E3B3C02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е) передача справочной информации;</w:t>
      </w:r>
    </w:p>
    <w:p w14:paraId="217A073F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ж) передача архива данных;</w:t>
      </w:r>
    </w:p>
    <w:p w14:paraId="6174D2A7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з) оповещение о возможных недостоверных данных, поступающих с приборов учета в случае срабатывания индикаторов вскрытия элек</w:t>
      </w:r>
      <w:r w:rsidR="000C0412">
        <w:rPr>
          <w:rFonts w:ascii="Times New Roman" w:hAnsi="Times New Roman" w:cs="Times New Roman"/>
          <w:sz w:val="24"/>
          <w:szCs w:val="24"/>
        </w:rPr>
        <w:t xml:space="preserve">тронных пломб на корпусе и </w:t>
      </w:r>
      <w:proofErr w:type="spellStart"/>
      <w:r w:rsidR="000C0412">
        <w:rPr>
          <w:rFonts w:ascii="Times New Roman" w:hAnsi="Times New Roman" w:cs="Times New Roman"/>
          <w:sz w:val="24"/>
          <w:szCs w:val="24"/>
        </w:rPr>
        <w:t>клемм</w:t>
      </w:r>
      <w:r w:rsidRPr="001F1473">
        <w:rPr>
          <w:rFonts w:ascii="Times New Roman" w:hAnsi="Times New Roman" w:cs="Times New Roman"/>
          <w:sz w:val="24"/>
          <w:szCs w:val="24"/>
        </w:rPr>
        <w:t>ной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крышке прибора учета, воздействия магнитным полем на элементы прибора учета, неработоспособности прибора учета вследствие аппаратного или программного сбоя, его отключения (после повторного включения), перезагрузки.</w:t>
      </w:r>
    </w:p>
    <w:p w14:paraId="59C2378B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В состав информации о количестве и иных параметрах электрической энергии входят:</w:t>
      </w:r>
    </w:p>
    <w:p w14:paraId="0AD9B866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а) объем принятой и отданной электрической энергии, учтенный по точке поставки, в том числе по тарифным зонам и в случаях, предусмотренных Правилами, в почасовой или получасовой разбивке;</w:t>
      </w:r>
    </w:p>
    <w:p w14:paraId="5D83DFEB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б) объем принятой и отданной реактивной энергии, учтенный по точке поставки, в том числе по тарифным зонам;</w:t>
      </w:r>
    </w:p>
    <w:p w14:paraId="2732236C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в) порог превышения соотношения величин потребления активной и реактивной мощности, а также длительность отклонения соотношения потребления активной и реактивной мощности от предельного значения, установленного в соответствии с нормативными правовыми актами Российской Федерации в сфере электроэнергетики, и максимального значения отклонения в расчетном периоде по точке поставки;</w:t>
      </w:r>
    </w:p>
    <w:p w14:paraId="4985B309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г) значения максимальных в каждые рабочие сутки расчетного периода почасовых объемов электрической энергии, учтенные по точке поставки в установленные системным оператором плановые часы пиковой нагрузки, и среднее арифметическое из данных значений за расчетный период;</w:t>
      </w:r>
    </w:p>
    <w:p w14:paraId="29324114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д) значения максимальной и минимальной фактической активной, реактивной и полной мощности по точке поставки;</w:t>
      </w:r>
    </w:p>
    <w:p w14:paraId="07F769D2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е) информация о величине резервируемой максимальной мощности;</w:t>
      </w:r>
    </w:p>
    <w:p w14:paraId="39A350B1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ж) величина потерь электрической энергии в объектах электросетевого хозяйства на участке сети от физического места установки прибора учета (далее - точка учета) до точки поставки;</w:t>
      </w:r>
    </w:p>
    <w:p w14:paraId="495B6101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з) информация о нарушении индивидуальных параметров качества электроснабжения по точке учета;</w:t>
      </w:r>
    </w:p>
    <w:p w14:paraId="51A540DF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и) алгоритм определения объема принятой и отданной электрической энергии по точке поставки на основании результатов измерений приборов учета.</w:t>
      </w:r>
    </w:p>
    <w:p w14:paraId="4BB69F3A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Прибор учета электрической энергии, который может быть присоединен к интеллектуальной системе учета, должен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измерений, и обеспечивать в точке учета:</w:t>
      </w:r>
    </w:p>
    <w:p w14:paraId="38074358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а) измерение активной и реактивной энергии в сетях переменного тока в двух направлениях с классом точности 1,0 и выше по активной энергии и 2,0 по реактивной энергии (0,5S и выше по активной энергии и 1,0 по реактивной энергии для приборов учета электрической энергии трансформаторного включения) и установленным интервалом между поверками не менее 16 лет для однофазных приборов учета электрической энергии и не менее 10 лет для трехфазных приборов учета электрической энергии;</w:t>
      </w:r>
    </w:p>
    <w:p w14:paraId="09AF678E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б) 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</w:r>
    </w:p>
    <w:p w14:paraId="29246B3C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в) 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</w:r>
    </w:p>
    <w:p w14:paraId="75329C8F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lastRenderedPageBreak/>
        <w:t>г) возможность синхронизации и коррекции времени с внешним источником сигналов точного времени;</w:t>
      </w:r>
    </w:p>
    <w:p w14:paraId="31AD09E5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д) 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 - тарифное расписание);</w:t>
      </w:r>
    </w:p>
    <w:p w14:paraId="5661580D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е) измерение и вычисление:</w:t>
      </w:r>
    </w:p>
    <w:p w14:paraId="6F7BDDF6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фазного напряжения в каждой фазе;</w:t>
      </w:r>
    </w:p>
    <w:p w14:paraId="7DFF0E24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линейного напряжения (для трехфазных приборов учета электрической энергии);</w:t>
      </w:r>
    </w:p>
    <w:p w14:paraId="3CCE6AF2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фазного тока в каждой фазе;</w:t>
      </w:r>
    </w:p>
    <w:p w14:paraId="55E9A718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активной, реактивной и полной мощности в каждой фазе и суммарной мощности;</w:t>
      </w:r>
    </w:p>
    <w:p w14:paraId="7FBC341C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значения тока в нулевом проводе (для однофазного прибора учета электрической энергии);</w:t>
      </w:r>
    </w:p>
    <w:p w14:paraId="722801B1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небаланса токов в фазном и нулевом проводах (для однофазного прибора учета электрической энергии);</w:t>
      </w:r>
    </w:p>
    <w:p w14:paraId="03D5D652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частоты электрической сети;</w:t>
      </w:r>
    </w:p>
    <w:p w14:paraId="3D8BB45F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ж) 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 30804.4.30-2013);</w:t>
      </w:r>
    </w:p>
    <w:p w14:paraId="33937D46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з) контроль наличия внешнего переменного и постоянного магнитного поля;</w:t>
      </w:r>
    </w:p>
    <w:p w14:paraId="3C39BB53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и) отображение на встроенном и (или) выносном цифровом дисплее:</w:t>
      </w:r>
    </w:p>
    <w:p w14:paraId="0DD43147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текущих даты и времени;</w:t>
      </w:r>
    </w:p>
    <w:p w14:paraId="20732745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текущих значений потребленной электрической энергии суммарно и по тарифным зонам;</w:t>
      </w:r>
    </w:p>
    <w:p w14:paraId="7CB63790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текущих значений активной и реактивной мощности, напряжения, тока и частоты;</w:t>
      </w:r>
    </w:p>
    <w:p w14:paraId="757E83AC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значения потребленной электрической энергии на конец последнего программируемого расчетного периода суммарно и по тарифным зонам;</w:t>
      </w:r>
    </w:p>
    <w:p w14:paraId="118E6123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индикатора режима приема и отдачи электрической энергии;</w:t>
      </w:r>
    </w:p>
    <w:p w14:paraId="1E3134BD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индикатора факта нарушения индивидуальных параметров качества электроснабжения;</w:t>
      </w:r>
    </w:p>
    <w:p w14:paraId="60C0F2E7" w14:textId="4C711CBE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индикатора вскрытия электронных пломб на корпусе и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клем</w:t>
      </w:r>
      <w:r w:rsidR="00867BE5">
        <w:rPr>
          <w:rFonts w:ascii="Times New Roman" w:hAnsi="Times New Roman" w:cs="Times New Roman"/>
          <w:sz w:val="24"/>
          <w:szCs w:val="24"/>
        </w:rPr>
        <w:t>м</w:t>
      </w:r>
      <w:r w:rsidRPr="001F1473">
        <w:rPr>
          <w:rFonts w:ascii="Times New Roman" w:hAnsi="Times New Roman" w:cs="Times New Roman"/>
          <w:sz w:val="24"/>
          <w:szCs w:val="24"/>
        </w:rPr>
        <w:t>ной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крышке прибора учета электрической энергии;</w:t>
      </w:r>
    </w:p>
    <w:p w14:paraId="65336341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индикатора факта события воздействия магнитных полей со значением модуля вектора магнитной индукции свыше 150 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мТл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(пиковое значение) на элементы прибора учета электрической энергии;</w:t>
      </w:r>
    </w:p>
    <w:p w14:paraId="7F739E8F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индикатора неработоспособности прибора учета электрической энергии вследствие аппаратного или программного сбоя;</w:t>
      </w:r>
    </w:p>
    <w:p w14:paraId="1196CE03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к) 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 31 октября 2009 г. № 879 "Об утверждении Положения о единицах величин, допускаемых к применению в Российской Федерации" (обозначение активной электрической энергии - в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кВт·ч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, реактивной - в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кВАр·ч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>);</w:t>
      </w:r>
    </w:p>
    <w:p w14:paraId="6169F885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л) индикацию функционирования (работоспособного состояния) на корпусе и выносном дисплее (при наличии выносного дисплея);</w:t>
      </w:r>
    </w:p>
    <w:p w14:paraId="396FDF55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м) наличие 2 интерфейсов связи для организации канала связи (оптического и иного другого),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>;</w:t>
      </w:r>
    </w:p>
    <w:p w14:paraId="13D791A1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н) защиту прибора учета электрической энергии от несанкционированного доступа с помощью реализации в приборе учета:</w:t>
      </w:r>
    </w:p>
    <w:p w14:paraId="4FFA877B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идентификации и аутентификации;</w:t>
      </w:r>
    </w:p>
    <w:p w14:paraId="592C6A26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lastRenderedPageBreak/>
        <w:t>контроля доступа;</w:t>
      </w:r>
    </w:p>
    <w:p w14:paraId="17F1264C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контроля целостности;</w:t>
      </w:r>
    </w:p>
    <w:p w14:paraId="1956FA11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регистрации событий безопасности в журнале событий;</w:t>
      </w:r>
    </w:p>
    <w:p w14:paraId="38C42A74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о) фиксирование несанкционированного доступа к прибору учета посредством энергонезависимой электронной пломбы, фиксирующей вскрытие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клеммной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крышки и вскрытие корпуса (для разборных корпусов);</w:t>
      </w:r>
    </w:p>
    <w:p w14:paraId="589D7A88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п) 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 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мТл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(пиковое значение);</w:t>
      </w:r>
    </w:p>
    <w:p w14:paraId="2C729DCE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р) 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 - в отдельные выделенные сегменты энергонезависимой памяти прибора учета электрической энергии (далее соответственно - журнал событий, ведение журнала событий) в объеме не менее чем на 500 записей;</w:t>
      </w:r>
    </w:p>
    <w:p w14:paraId="441CBEFA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с) ведение журнала событий, в котором должно фиксироваться следующее:</w:t>
      </w:r>
    </w:p>
    <w:p w14:paraId="1DD7602D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дата и время вскрытия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клеммной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крышки;</w:t>
      </w:r>
    </w:p>
    <w:p w14:paraId="6A9172A4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дата и время вскрытия корпуса прибора учета электрической энергии (для разборных корпусов);</w:t>
      </w:r>
    </w:p>
    <w:p w14:paraId="68E7E4AD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дата, время и причина включения и отключения встроенного коммутационного аппарата;</w:t>
      </w:r>
    </w:p>
    <w:p w14:paraId="233CBEA8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дата и время последнего перепрограммирования;</w:t>
      </w:r>
    </w:p>
    <w:p w14:paraId="6C6AE588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дата, время, тип и параметры выполненной команды;</w:t>
      </w:r>
    </w:p>
    <w:p w14:paraId="5BF47C94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попытка доступа с неуспешной идентификацией и (или) аутентификацией;</w:t>
      </w:r>
    </w:p>
    <w:p w14:paraId="4D5C2271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попытка доступа с нарушением правил управления доступом;</w:t>
      </w:r>
    </w:p>
    <w:p w14:paraId="62A2195F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попытка несанкционированного нарушения целостности программного обеспечения и параметров;</w:t>
      </w:r>
    </w:p>
    <w:p w14:paraId="7FB446EC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изменение направления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перетока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мощности (для однофазных и трехфазных приборов учета электрической энергии);</w:t>
      </w:r>
    </w:p>
    <w:p w14:paraId="4211BDC7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дата и время воздействия постоянного или переменного магнитного поля со значением модуля вектора магнитной индукции свыше 150 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мТл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(пиковое значение) с визуализацией индикации;</w:t>
      </w:r>
    </w:p>
    <w:p w14:paraId="3DAA4074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</w:r>
    </w:p>
    <w:p w14:paraId="47776EB8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дата и время отклонения напряжения в измерительных цепях от заданных пределов;</w:t>
      </w:r>
    </w:p>
    <w:p w14:paraId="4BDF54BF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</w:r>
    </w:p>
    <w:p w14:paraId="51C2FD4D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</w:r>
    </w:p>
    <w:p w14:paraId="407C4B9D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инверсия фазы или нарушение чередования фаз (для трехфазных приборов учета электрической энергии);</w:t>
      </w:r>
    </w:p>
    <w:p w14:paraId="7B6D9B4D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превышение соотношения величин потребления активной и реактивной мощности;</w:t>
      </w:r>
    </w:p>
    <w:p w14:paraId="36EBCDF0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небаланс тока в нулевом и фазном проводе (для однофазных приборов учета электрической энергии);</w:t>
      </w:r>
    </w:p>
    <w:p w14:paraId="0F48387F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превышение заданного предела мощности;</w:t>
      </w:r>
    </w:p>
    <w:p w14:paraId="60AC1E7A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т) формирование по результатам автоматической самодиагностики обобщенного события или каждого факта события;</w:t>
      </w:r>
    </w:p>
    <w:p w14:paraId="461A0CF4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lastRenderedPageBreak/>
        <w:t>у) 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</w:r>
    </w:p>
    <w:p w14:paraId="706FD649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ф) 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</w:r>
    </w:p>
    <w:p w14:paraId="0D7CB312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запрос интеллектуальной системы учета;</w:t>
      </w:r>
    </w:p>
    <w:p w14:paraId="03EE7975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превышение заданных в приборе учета электрической энергии пределов параметров электрической сети;</w:t>
      </w:r>
    </w:p>
    <w:p w14:paraId="6EB62EA8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превышение заданного в приборе учета электрической энергии предела электрической энергии (мощности);</w:t>
      </w:r>
    </w:p>
    <w:p w14:paraId="5E28C2DD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несанкционированный доступ к прибору учета электрической энергии (вскрытие 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клеммной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 xml:space="preserve"> крышки, вскрытие корпуса (для разборных корпусов) и воздействие постоянным и переменным магнитным полем);</w:t>
      </w:r>
    </w:p>
    <w:p w14:paraId="5CC87E69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х) 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</w:r>
    </w:p>
    <w:p w14:paraId="12A67217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ц) хранение профиля принятой и отданной активной и реактивной энергии (мощности) с программируемым интервалом времени интегрирования от 1 минуты до 60 минут и периодом хранения не менее 90 суток (при времени интегрирования 30 минут);</w:t>
      </w:r>
    </w:p>
    <w:p w14:paraId="16739E12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ч) 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</w:r>
    </w:p>
    <w:p w14:paraId="6C83D77A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ш) 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</w:r>
    </w:p>
    <w:p w14:paraId="18EE5357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щ) 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</w:r>
    </w:p>
    <w:p w14:paraId="09FFF95D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корректировку текущей даты и (или) времени, часового пояса;</w:t>
      </w:r>
    </w:p>
    <w:p w14:paraId="3C0E2693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изменение тарифного расписания;</w:t>
      </w:r>
    </w:p>
    <w:p w14:paraId="05EA9B50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программирование состава и последовательности вывода сообщений и измеряемых параметров на дисплей;</w:t>
      </w:r>
    </w:p>
    <w:p w14:paraId="14551199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программирование параметров фиксации индивидуальных параметров качества электроснабжения;</w:t>
      </w:r>
    </w:p>
    <w:p w14:paraId="1E90E3A4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программирование даты начала расчетного периода;</w:t>
      </w:r>
    </w:p>
    <w:p w14:paraId="3779C1E0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программирование параметров срабатывания встроенных коммутационных аппаратов;</w:t>
      </w:r>
    </w:p>
    <w:p w14:paraId="550F8A29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изменение паролей доступа к параметрам;</w:t>
      </w:r>
    </w:p>
    <w:p w14:paraId="5034344A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изменение ключей шифрования;</w:t>
      </w:r>
    </w:p>
    <w:p w14:paraId="7DC6DC36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lastRenderedPageBreak/>
        <w:t>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</w:r>
    </w:p>
    <w:p w14:paraId="50FB01F2" w14:textId="77777777" w:rsidR="007E4E00" w:rsidRPr="001F1473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э) 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</w:r>
    </w:p>
    <w:p w14:paraId="48868458" w14:textId="4456EBB6" w:rsidR="001F1473" w:rsidRDefault="001F1473" w:rsidP="005F3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1047B" w:rsidRPr="001F1473">
        <w:rPr>
          <w:rFonts w:ascii="Times New Roman" w:hAnsi="Times New Roman" w:cs="Times New Roman"/>
          <w:sz w:val="24"/>
          <w:szCs w:val="24"/>
        </w:rPr>
        <w:t>Исходя и</w:t>
      </w:r>
      <w:r w:rsidR="00FF5316" w:rsidRPr="001F1473">
        <w:rPr>
          <w:rFonts w:ascii="Times New Roman" w:hAnsi="Times New Roman" w:cs="Times New Roman"/>
          <w:sz w:val="24"/>
          <w:szCs w:val="24"/>
        </w:rPr>
        <w:t xml:space="preserve">з требований </w:t>
      </w:r>
      <w:r>
        <w:rPr>
          <w:rFonts w:ascii="Times New Roman" w:hAnsi="Times New Roman" w:cs="Times New Roman"/>
          <w:sz w:val="24"/>
          <w:szCs w:val="24"/>
        </w:rPr>
        <w:t xml:space="preserve">действующего </w:t>
      </w:r>
      <w:r w:rsidR="00FF5316" w:rsidRPr="001F1473">
        <w:rPr>
          <w:rFonts w:ascii="Times New Roman" w:hAnsi="Times New Roman" w:cs="Times New Roman"/>
          <w:sz w:val="24"/>
          <w:szCs w:val="24"/>
        </w:rPr>
        <w:t>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РФ</w:t>
      </w:r>
      <w:r w:rsidR="00FF5316" w:rsidRPr="001F1473">
        <w:rPr>
          <w:rFonts w:ascii="Times New Roman" w:hAnsi="Times New Roman" w:cs="Times New Roman"/>
          <w:sz w:val="24"/>
          <w:szCs w:val="24"/>
        </w:rPr>
        <w:t>, возможных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 штрафных санкций ООО «Газпром энерго» в лице Центрального филиала планирует установку приборов учета </w:t>
      </w:r>
      <w:r w:rsidR="0051047B" w:rsidRPr="008E2457">
        <w:rPr>
          <w:rFonts w:ascii="Times New Roman" w:hAnsi="Times New Roman" w:cs="Times New Roman"/>
          <w:sz w:val="24"/>
          <w:szCs w:val="24"/>
        </w:rPr>
        <w:t xml:space="preserve">0,4 </w:t>
      </w:r>
      <w:proofErr w:type="spellStart"/>
      <w:r w:rsidR="0051047B" w:rsidRPr="008E245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51047B" w:rsidRPr="008E2457">
        <w:rPr>
          <w:rFonts w:ascii="Times New Roman" w:hAnsi="Times New Roman" w:cs="Times New Roman"/>
          <w:sz w:val="24"/>
          <w:szCs w:val="24"/>
        </w:rPr>
        <w:t xml:space="preserve"> (трехфазных) в количестве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 </w:t>
      </w:r>
      <w:r w:rsidR="00F243EC">
        <w:rPr>
          <w:rFonts w:ascii="Times New Roman" w:hAnsi="Times New Roman" w:cs="Times New Roman"/>
          <w:sz w:val="24"/>
          <w:szCs w:val="24"/>
        </w:rPr>
        <w:t>1</w:t>
      </w:r>
      <w:r w:rsidR="00BC7B93" w:rsidRPr="001F1473">
        <w:rPr>
          <w:rFonts w:ascii="Times New Roman" w:hAnsi="Times New Roman" w:cs="Times New Roman"/>
          <w:sz w:val="24"/>
          <w:szCs w:val="24"/>
        </w:rPr>
        <w:t>5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 штук на объектах, расположенных в </w:t>
      </w:r>
      <w:r w:rsidR="00BC7B93" w:rsidRPr="001F1473">
        <w:rPr>
          <w:rFonts w:ascii="Times New Roman" w:hAnsi="Times New Roman" w:cs="Times New Roman"/>
          <w:sz w:val="24"/>
          <w:szCs w:val="24"/>
        </w:rPr>
        <w:t>Тульской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 области в рамках реали</w:t>
      </w:r>
      <w:r w:rsidR="00BC7B93" w:rsidRPr="001F1473">
        <w:rPr>
          <w:rFonts w:ascii="Times New Roman" w:hAnsi="Times New Roman" w:cs="Times New Roman"/>
          <w:sz w:val="24"/>
          <w:szCs w:val="24"/>
        </w:rPr>
        <w:t xml:space="preserve">зации </w:t>
      </w:r>
      <w:r>
        <w:rPr>
          <w:rFonts w:ascii="Times New Roman" w:hAnsi="Times New Roman" w:cs="Times New Roman"/>
          <w:sz w:val="24"/>
          <w:szCs w:val="24"/>
        </w:rPr>
        <w:t>Инвестиционного проекта «</w:t>
      </w:r>
      <w:r w:rsidRPr="001F1473">
        <w:rPr>
          <w:rFonts w:ascii="Times New Roman" w:hAnsi="Times New Roman" w:cs="Times New Roman"/>
          <w:sz w:val="24"/>
          <w:szCs w:val="24"/>
        </w:rPr>
        <w:t>Интеллектуальная система учета электроэнергии Центрального филиала ООО "Газпром энерго»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8FFF3B" w14:textId="77777777" w:rsidR="00F9664E" w:rsidRPr="001F1473" w:rsidRDefault="00F9664E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Таким образом, реализация мероприятия </w:t>
      </w:r>
      <w:r w:rsidR="001F1473">
        <w:rPr>
          <w:rFonts w:ascii="Times New Roman" w:hAnsi="Times New Roman" w:cs="Times New Roman"/>
          <w:sz w:val="24"/>
          <w:szCs w:val="24"/>
        </w:rPr>
        <w:t>Инвестиционного проекта «</w:t>
      </w:r>
      <w:r w:rsidR="001F1473" w:rsidRPr="001F1473">
        <w:rPr>
          <w:rFonts w:ascii="Times New Roman" w:hAnsi="Times New Roman" w:cs="Times New Roman"/>
          <w:sz w:val="24"/>
          <w:szCs w:val="24"/>
        </w:rPr>
        <w:t>Интеллектуальная система учета электроэнергии Центрального филиала ООО "Газпром энерго»</w:t>
      </w:r>
      <w:r w:rsidR="00870B4F">
        <w:rPr>
          <w:rFonts w:ascii="Times New Roman" w:hAnsi="Times New Roman" w:cs="Times New Roman"/>
          <w:sz w:val="24"/>
          <w:szCs w:val="24"/>
        </w:rPr>
        <w:t xml:space="preserve"> о</w:t>
      </w:r>
      <w:r w:rsidRPr="001F1473">
        <w:rPr>
          <w:rFonts w:ascii="Times New Roman" w:hAnsi="Times New Roman" w:cs="Times New Roman"/>
          <w:sz w:val="24"/>
          <w:szCs w:val="24"/>
        </w:rPr>
        <w:t>бусловлена необходимостью выполнения сетевой организацией предусмотренных законодательством Российской Федерации требований к объектам основных средств и нематериальных активов, используемых сетевой организацией при осуществлении регулируемых видов деятельности в сфере электроэнергетики.</w:t>
      </w:r>
    </w:p>
    <w:p w14:paraId="0E3F5D6B" w14:textId="77777777" w:rsidR="005F3684" w:rsidRDefault="005F3684" w:rsidP="005F3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EF8366" w14:textId="77777777" w:rsidR="004042C7" w:rsidRPr="001F1473" w:rsidRDefault="004042C7" w:rsidP="005F3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90BC5F" w14:textId="77777777" w:rsidR="000F28F8" w:rsidRPr="000D191F" w:rsidRDefault="000F28F8" w:rsidP="000F28F8">
      <w:pPr>
        <w:pStyle w:val="a4"/>
        <w:numPr>
          <w:ilvl w:val="0"/>
          <w:numId w:val="10"/>
        </w:numPr>
        <w:tabs>
          <w:tab w:val="left" w:pos="31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_Toc73051861"/>
      <w:r w:rsidRPr="000D191F">
        <w:rPr>
          <w:rFonts w:ascii="PT Astra Serif" w:hAnsi="PT Astra Serif" w:cs="PT Astra Serif"/>
          <w:sz w:val="24"/>
          <w:szCs w:val="24"/>
        </w:rPr>
        <w:t xml:space="preserve"> </w:t>
      </w:r>
      <w:bookmarkStart w:id="3" w:name="_Toc164869829"/>
      <w:r w:rsidRPr="000D191F">
        <w:rPr>
          <w:rFonts w:ascii="Times New Roman" w:hAnsi="Times New Roman" w:cs="Times New Roman"/>
          <w:b/>
          <w:sz w:val="24"/>
          <w:szCs w:val="24"/>
        </w:rPr>
        <w:t xml:space="preserve">Описание оборудования, программного обеспечения </w:t>
      </w:r>
      <w:r w:rsidR="00806310" w:rsidRPr="000D191F">
        <w:rPr>
          <w:rFonts w:ascii="Times New Roman" w:hAnsi="Times New Roman" w:cs="Times New Roman"/>
          <w:b/>
          <w:sz w:val="24"/>
          <w:szCs w:val="24"/>
        </w:rPr>
        <w:t>инвестиционного проекта (L_ПУ23/1</w:t>
      </w:r>
      <w:proofErr w:type="gramStart"/>
      <w:r w:rsidR="00806310" w:rsidRPr="000D191F">
        <w:rPr>
          <w:rFonts w:ascii="Times New Roman" w:hAnsi="Times New Roman" w:cs="Times New Roman"/>
          <w:b/>
          <w:sz w:val="24"/>
          <w:szCs w:val="24"/>
        </w:rPr>
        <w:t>)  «</w:t>
      </w:r>
      <w:proofErr w:type="gramEnd"/>
      <w:r w:rsidR="00806310" w:rsidRPr="000D191F">
        <w:rPr>
          <w:rFonts w:ascii="Times New Roman" w:hAnsi="Times New Roman" w:cs="Times New Roman"/>
          <w:b/>
          <w:sz w:val="24"/>
          <w:szCs w:val="24"/>
        </w:rPr>
        <w:t>Интеллектуальная система учета электроэнергии Центрального филиала ООО "Газпром энерго" в Тульской области»</w:t>
      </w:r>
      <w:bookmarkEnd w:id="3"/>
    </w:p>
    <w:p w14:paraId="55973398" w14:textId="77777777" w:rsidR="000F28F8" w:rsidRDefault="000F28F8" w:rsidP="000F28F8">
      <w:pPr>
        <w:tabs>
          <w:tab w:val="left" w:pos="31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4A33912" w14:textId="4DFEC3FA" w:rsidR="00636832" w:rsidRDefault="000F28F8" w:rsidP="000D1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Основными положениями функционирования розничных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рынков электроэнергии, утвержденными постановлением Правительства РФ от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04.05.2012 № 442, 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ООО «Газпром энерго» планируется установка 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прибор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учета на границе балансовой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принадлежности объектов электроэнергетики (</w:t>
      </w:r>
      <w:proofErr w:type="spellStart"/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энергопринимающих</w:t>
      </w:r>
      <w:proofErr w:type="spellEnd"/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устройств). При отсутствии технической возможности установки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прибора учета на границе балансовой принадлежности, прибор учета 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соглашению сторон планируется установить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месте, максимально к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 приближенном, в котором имеется техническая возможность его установки.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Местом, максимально приближенным к границе балансовой принадлежности,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место, максимально приближенное к точке поставки, в котором имеется</w:t>
      </w:r>
      <w:r w:rsid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D12"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техническая возм</w:t>
      </w:r>
      <w:r w:rsidR="00DD00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ожность установки прибора учета.</w:t>
      </w:r>
    </w:p>
    <w:p w14:paraId="24D11BC4" w14:textId="77777777" w:rsidR="000F28F8" w:rsidRDefault="00EF3D12" w:rsidP="000D1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к установке приборы</w:t>
      </w:r>
      <w:r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учета электрической энергии, присоединяемые к интеллектуальной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системе учета</w:t>
      </w:r>
      <w:r w:rsidR="00B22E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соответствуют</w:t>
      </w:r>
      <w:r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требованиям постановления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Правительства РФ от 17.07.2015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719 и постановлению Правительства РФ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10.07.2019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878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готовы к передаче</w:t>
      </w:r>
      <w:r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Pr="00EF3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беспроводным сетям связи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522F8D6" w14:textId="5EBE8294" w:rsidR="009F170A" w:rsidRDefault="00867BE5" w:rsidP="000D1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реализации и</w:t>
      </w:r>
      <w:r w:rsidR="009F170A" w:rsidRPr="009F1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нвестиционного проекта «Интеллектуальная система учета электроэнергии Центрального филиала ООО «Газпром энерго» в Тульской области» сбор данных планируется осуществлять с ПУ </w:t>
      </w:r>
      <w:r w:rsidR="009F170A" w:rsidRPr="00AD2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УСПД </w:t>
      </w:r>
      <w:proofErr w:type="spellStart"/>
      <w:r w:rsidR="00AD259B" w:rsidRPr="00AD2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Сикон</w:t>
      </w:r>
      <w:proofErr w:type="spellEnd"/>
      <w:r w:rsidR="00AD259B" w:rsidRPr="00AD2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С50</w:t>
      </w:r>
      <w:r w:rsidR="009F170A" w:rsidRPr="009F1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996ED75" w14:textId="6183607C" w:rsidR="00234B8A" w:rsidRDefault="00234B8A" w:rsidP="000D1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4B8A">
        <w:rPr>
          <w:rFonts w:ascii="Times New Roman" w:hAnsi="Times New Roman" w:cs="Times New Roman"/>
          <w:sz w:val="24"/>
          <w:szCs w:val="24"/>
        </w:rPr>
        <w:t xml:space="preserve">Устройства сбора и передачи данных СИКОН С50 предназначены для синхронизации и учета времени приборов коммерческого учёта в автоматизированных системах комплексного учета энергоресурсов, а также сбора, обработки, хранения и передачи данных коммерческого учёта по интерфейсам связи на верхний уровень </w:t>
      </w:r>
      <w:r>
        <w:rPr>
          <w:rFonts w:ascii="Times New Roman" w:hAnsi="Times New Roman" w:cs="Times New Roman"/>
          <w:sz w:val="24"/>
          <w:szCs w:val="24"/>
        </w:rPr>
        <w:t>УСУЭ</w:t>
      </w:r>
      <w:r w:rsidRPr="00234B8A">
        <w:rPr>
          <w:rFonts w:ascii="Times New Roman" w:hAnsi="Times New Roman" w:cs="Times New Roman"/>
          <w:sz w:val="24"/>
          <w:szCs w:val="24"/>
        </w:rPr>
        <w:t>.</w:t>
      </w:r>
    </w:p>
    <w:p w14:paraId="5EF770B2" w14:textId="33C1A562" w:rsidR="00D83F9D" w:rsidRPr="00D83F9D" w:rsidRDefault="00D83F9D" w:rsidP="000D1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  <w:r w:rsidRPr="00D83F9D">
        <w:rPr>
          <w:rFonts w:ascii="Times New Roman" w:hAnsi="Times New Roman" w:cs="Times New Roman"/>
          <w:sz w:val="24"/>
          <w:szCs w:val="24"/>
        </w:rPr>
        <w:t>Принцип действия УСПД основан на получении, хранении, учёте по времени и передаче данных с ПКУ, подключенных к УСПД по цифровым интерфейсам связи.</w:t>
      </w:r>
    </w:p>
    <w:p w14:paraId="26F26803" w14:textId="2E486E49" w:rsidR="00D83F9D" w:rsidRPr="00D83F9D" w:rsidRDefault="00D83F9D" w:rsidP="000D1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3F9D">
        <w:rPr>
          <w:rFonts w:ascii="Times New Roman" w:hAnsi="Times New Roman" w:cs="Times New Roman"/>
          <w:sz w:val="24"/>
          <w:szCs w:val="24"/>
        </w:rPr>
        <w:t>УСПД</w:t>
      </w:r>
      <w:r w:rsidRPr="00D83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3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Сикон</w:t>
      </w:r>
      <w:proofErr w:type="spellEnd"/>
      <w:r w:rsidRPr="00D83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С50</w:t>
      </w:r>
      <w:r w:rsidRPr="00D83F9D">
        <w:rPr>
          <w:rFonts w:ascii="Times New Roman" w:hAnsi="Times New Roman" w:cs="Times New Roman"/>
          <w:sz w:val="24"/>
          <w:szCs w:val="24"/>
        </w:rPr>
        <w:t xml:space="preserve"> обеспечива</w:t>
      </w:r>
      <w:r w:rsidRPr="00D83F9D">
        <w:rPr>
          <w:rFonts w:ascii="Times New Roman" w:hAnsi="Times New Roman" w:cs="Times New Roman"/>
          <w:sz w:val="24"/>
          <w:szCs w:val="24"/>
        </w:rPr>
        <w:t>е</w:t>
      </w:r>
      <w:r w:rsidRPr="00D83F9D">
        <w:rPr>
          <w:rFonts w:ascii="Times New Roman" w:hAnsi="Times New Roman" w:cs="Times New Roman"/>
          <w:sz w:val="24"/>
          <w:szCs w:val="24"/>
        </w:rPr>
        <w:t>т:</w:t>
      </w:r>
    </w:p>
    <w:p w14:paraId="5ADD4B39" w14:textId="4A5E844E" w:rsidR="00D83F9D" w:rsidRPr="00D83F9D" w:rsidRDefault="00D83F9D" w:rsidP="000D1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F9D">
        <w:rPr>
          <w:rFonts w:ascii="Times New Roman" w:hAnsi="Times New Roman" w:cs="Times New Roman"/>
          <w:sz w:val="24"/>
          <w:szCs w:val="24"/>
        </w:rPr>
        <w:t xml:space="preserve">– автоматический сбор, обработку, архивирование данных учёта энергоресурсов с подчиненных устройств по задаваемым группам измерения в системах коммерческого и технического многотарифного учета; – автоматический поиск приборов учёта и включение в схему опроса; – автоматический сбор телеметрических данных с измерительных преобразователей с ведением краткосрочных архивов; – автоматический обмен данными по состоянию дискретных сигналов с подчиненными контроллерами; – расчет различных параметров на основании собранных данных, предоставление к ним регламентированного доступа по каналам связи параллельно: по последовательным каналам, каналам сетей стандарта </w:t>
      </w:r>
      <w:proofErr w:type="spellStart"/>
      <w:r w:rsidRPr="00D83F9D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D83F9D">
        <w:rPr>
          <w:rFonts w:ascii="Times New Roman" w:hAnsi="Times New Roman" w:cs="Times New Roman"/>
          <w:sz w:val="24"/>
          <w:szCs w:val="24"/>
        </w:rPr>
        <w:t xml:space="preserve">, радиотелефонной связи стандарта GSM в режиме пакетной передачи данных с использованием технологии GPRS: передача данных осуществляется как по специализированным протоколам, так и в соответствии со стандартами ГОСТ Р МЭК 60870-5- 104-2004, ГОСТ Р МЭК 60870-5-101-2006, </w:t>
      </w:r>
      <w:proofErr w:type="spellStart"/>
      <w:r w:rsidRPr="00D83F9D">
        <w:rPr>
          <w:rFonts w:ascii="Times New Roman" w:hAnsi="Times New Roman" w:cs="Times New Roman"/>
          <w:sz w:val="24"/>
          <w:szCs w:val="24"/>
        </w:rPr>
        <w:t>Modbus</w:t>
      </w:r>
      <w:proofErr w:type="spellEnd"/>
      <w:r w:rsidRPr="00D83F9D">
        <w:rPr>
          <w:rFonts w:ascii="Times New Roman" w:hAnsi="Times New Roman" w:cs="Times New Roman"/>
          <w:sz w:val="24"/>
          <w:szCs w:val="24"/>
        </w:rPr>
        <w:t xml:space="preserve">/TCP, </w:t>
      </w:r>
      <w:proofErr w:type="spellStart"/>
      <w:r w:rsidRPr="00D83F9D">
        <w:rPr>
          <w:rFonts w:ascii="Times New Roman" w:hAnsi="Times New Roman" w:cs="Times New Roman"/>
          <w:sz w:val="24"/>
          <w:szCs w:val="24"/>
        </w:rPr>
        <w:t>Modbus</w:t>
      </w:r>
      <w:proofErr w:type="spellEnd"/>
      <w:r w:rsidRPr="00D83F9D">
        <w:rPr>
          <w:rFonts w:ascii="Times New Roman" w:hAnsi="Times New Roman" w:cs="Times New Roman"/>
          <w:sz w:val="24"/>
          <w:szCs w:val="24"/>
        </w:rPr>
        <w:t>/RTU, FTP, МЭК 62056 (DLMS/COSEM), XML; – синхронизацию времени подчиненных контроллеров и измерительных преобразователей, имеющих встроенные часы; – самодиагностику с записью событий в журнале событий; – защиту от зацикливаний, самостоятельная инициализация при возобновлении питания; – конфигурирование (</w:t>
      </w:r>
      <w:proofErr w:type="spellStart"/>
      <w:r w:rsidRPr="00D83F9D">
        <w:rPr>
          <w:rFonts w:ascii="Times New Roman" w:hAnsi="Times New Roman" w:cs="Times New Roman"/>
          <w:sz w:val="24"/>
          <w:szCs w:val="24"/>
        </w:rPr>
        <w:t>параметрирование</w:t>
      </w:r>
      <w:proofErr w:type="spellEnd"/>
      <w:r w:rsidRPr="00D83F9D">
        <w:rPr>
          <w:rFonts w:ascii="Times New Roman" w:hAnsi="Times New Roman" w:cs="Times New Roman"/>
          <w:sz w:val="24"/>
          <w:szCs w:val="24"/>
        </w:rPr>
        <w:t>) с помощью конфигурационного программного обеспечения.</w:t>
      </w:r>
    </w:p>
    <w:p w14:paraId="29B0D9EC" w14:textId="77777777" w:rsidR="00583B11" w:rsidRPr="000D191F" w:rsidRDefault="003D447B" w:rsidP="000D191F">
      <w:pPr>
        <w:pStyle w:val="Default"/>
        <w:ind w:firstLine="708"/>
        <w:jc w:val="both"/>
      </w:pPr>
      <w:r w:rsidRPr="000D191F">
        <w:t>В рамках</w:t>
      </w:r>
      <w:r w:rsidR="00583B11" w:rsidRPr="000D191F">
        <w:t xml:space="preserve"> создания ИСУЭ ООО «Газпром энерго» (верхний уровень ИСУЭ - информационно-вычислительный комплекс, средний уровень УСУЭ - информационно-вычислительный комплекс электроустановки, нижний уровень УСУЭ - приборы учета электрической </w:t>
      </w:r>
      <w:proofErr w:type="gramStart"/>
      <w:r w:rsidR="00583B11" w:rsidRPr="000D191F">
        <w:t xml:space="preserve">энергии) </w:t>
      </w:r>
      <w:r w:rsidRPr="000D191F">
        <w:t xml:space="preserve"> </w:t>
      </w:r>
      <w:r w:rsidR="00583B11" w:rsidRPr="000D191F">
        <w:t>при</w:t>
      </w:r>
      <w:proofErr w:type="gramEnd"/>
      <w:r w:rsidR="00583B11" w:rsidRPr="000D191F">
        <w:t xml:space="preserve"> </w:t>
      </w:r>
      <w:r w:rsidRPr="000D191F">
        <w:t xml:space="preserve">реализации инвестиционного проекта (L_ПУ23/1)  «Интеллектуальная система учета электроэнергии Центрального филиала ООО "Газпром энерго" в Тульской области» </w:t>
      </w:r>
      <w:r w:rsidR="000D191F" w:rsidRPr="000D191F">
        <w:t xml:space="preserve">предварительная </w:t>
      </w:r>
      <w:r w:rsidR="00583B11" w:rsidRPr="000D191F">
        <w:t>характеристика АИИС КУЭ ООО «Газпром энерго» АСКУ ЭР ПАО «Газпром» на территории Тульской области</w:t>
      </w:r>
      <w:r w:rsidR="00E32246">
        <w:t>, с учетом имеющегося и планируемого к установке ПУ,</w:t>
      </w:r>
      <w:r w:rsidR="00583B11" w:rsidRPr="000D191F">
        <w:t xml:space="preserve"> предоставлена в таблице:</w:t>
      </w:r>
    </w:p>
    <w:p w14:paraId="00A504B6" w14:textId="77777777" w:rsidR="006C02AD" w:rsidRPr="000D191F" w:rsidRDefault="006C02AD" w:rsidP="000D19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6C02AD" w:rsidRPr="000D191F" w:rsidSect="00740F6C">
          <w:footerReference w:type="default" r:id="rId11"/>
          <w:pgSz w:w="11906" w:h="16838"/>
          <w:pgMar w:top="1134" w:right="850" w:bottom="1134" w:left="156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975"/>
        <w:gridCol w:w="1862"/>
        <w:gridCol w:w="1556"/>
        <w:gridCol w:w="1269"/>
        <w:gridCol w:w="1427"/>
        <w:gridCol w:w="1419"/>
        <w:gridCol w:w="2193"/>
      </w:tblGrid>
      <w:tr w:rsidR="003C092D" w:rsidRPr="00303F2E" w14:paraId="377F84C6" w14:textId="77777777" w:rsidTr="003D447B">
        <w:trPr>
          <w:trHeight w:val="330"/>
        </w:trPr>
        <w:tc>
          <w:tcPr>
            <w:tcW w:w="14786" w:type="dxa"/>
            <w:gridSpan w:val="9"/>
            <w:hideMark/>
          </w:tcPr>
          <w:p w14:paraId="55B262A7" w14:textId="77777777" w:rsidR="003C092D" w:rsidRPr="003D447B" w:rsidRDefault="003C092D" w:rsidP="003C092D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44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Верхний уровень УСУЭ - информационно-вычислительный комплекс (далее - ИВК) </w:t>
            </w:r>
          </w:p>
        </w:tc>
      </w:tr>
      <w:tr w:rsidR="003D447B" w:rsidRPr="00303F2E" w14:paraId="129C1A51" w14:textId="77777777" w:rsidTr="003D447B">
        <w:trPr>
          <w:trHeight w:val="330"/>
        </w:trPr>
        <w:tc>
          <w:tcPr>
            <w:tcW w:w="1668" w:type="dxa"/>
            <w:vMerge w:val="restart"/>
            <w:hideMark/>
          </w:tcPr>
          <w:p w14:paraId="321578A5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Базовое программное обеспечение, производитель (город)</w:t>
            </w:r>
          </w:p>
        </w:tc>
        <w:tc>
          <w:tcPr>
            <w:tcW w:w="1417" w:type="dxa"/>
            <w:vMerge w:val="restart"/>
            <w:hideMark/>
          </w:tcPr>
          <w:p w14:paraId="7CC22E2D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Пользователи ИВК (ТУ, до шт.; АРМ, шт.; ЛК, до шт., другое)</w:t>
            </w:r>
          </w:p>
        </w:tc>
        <w:tc>
          <w:tcPr>
            <w:tcW w:w="5393" w:type="dxa"/>
            <w:gridSpan w:val="3"/>
            <w:hideMark/>
          </w:tcPr>
          <w:p w14:paraId="40726531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Назначение ИВК</w:t>
            </w:r>
          </w:p>
        </w:tc>
        <w:tc>
          <w:tcPr>
            <w:tcW w:w="2696" w:type="dxa"/>
            <w:gridSpan w:val="2"/>
            <w:hideMark/>
          </w:tcPr>
          <w:p w14:paraId="7FA0D18D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Информационное взаимодействие компонентов и устройств ИСУЭ </w:t>
            </w:r>
            <w:proofErr w:type="gramStart"/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между:</w:t>
            </w: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ИВК</w:t>
            </w:r>
            <w:proofErr w:type="gramEnd"/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 ИВКЭ/ПУ (вид применяемой технологии)</w:t>
            </w:r>
          </w:p>
        </w:tc>
        <w:tc>
          <w:tcPr>
            <w:tcW w:w="1419" w:type="dxa"/>
            <w:vMerge w:val="restart"/>
            <w:hideMark/>
          </w:tcPr>
          <w:p w14:paraId="57941CBC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Способ построения сети передачи информации ИСУЭ (на собственных (ведомственных), на арендованных каналах связи (в том числе операторов сотовой связи)</w:t>
            </w:r>
          </w:p>
        </w:tc>
        <w:tc>
          <w:tcPr>
            <w:tcW w:w="2193" w:type="dxa"/>
            <w:vMerge w:val="restart"/>
            <w:hideMark/>
          </w:tcPr>
          <w:p w14:paraId="681F44B7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Основные функции ИВК</w:t>
            </w:r>
          </w:p>
        </w:tc>
      </w:tr>
      <w:tr w:rsidR="003D447B" w:rsidRPr="00303F2E" w14:paraId="2E8E4D8F" w14:textId="77777777" w:rsidTr="003D447B">
        <w:trPr>
          <w:trHeight w:val="1782"/>
        </w:trPr>
        <w:tc>
          <w:tcPr>
            <w:tcW w:w="1668" w:type="dxa"/>
            <w:vMerge/>
            <w:hideMark/>
          </w:tcPr>
          <w:p w14:paraId="09AA563E" w14:textId="77777777" w:rsidR="003C092D" w:rsidRPr="00303F2E" w:rsidRDefault="003C092D" w:rsidP="003D447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hideMark/>
          </w:tcPr>
          <w:p w14:paraId="66BB4091" w14:textId="77777777" w:rsidR="003C092D" w:rsidRPr="00303F2E" w:rsidRDefault="003C092D" w:rsidP="003D447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75" w:type="dxa"/>
            <w:hideMark/>
          </w:tcPr>
          <w:p w14:paraId="38A8F5C9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для дистанционного считывания, накопления, обработки, хранения и отображения результатов измерений, количества и иных параметров электрической энергии, журналов событий и данных о параметрах настройки ИВКЭ и ПУ по протоколам обмена данными</w:t>
            </w:r>
          </w:p>
        </w:tc>
        <w:tc>
          <w:tcPr>
            <w:tcW w:w="1862" w:type="dxa"/>
            <w:hideMark/>
          </w:tcPr>
          <w:p w14:paraId="44E9E434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для управления ПУ, присоединенными к ИВК как непосредственно (двухуровневая схема), так и опосредованно через ИВКЭ (трехуровневая схема)</w:t>
            </w:r>
          </w:p>
        </w:tc>
        <w:tc>
          <w:tcPr>
            <w:tcW w:w="1556" w:type="dxa"/>
            <w:hideMark/>
          </w:tcPr>
          <w:p w14:paraId="5BE483F8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для изменения конфигурационных параметров ИВКЭ и ПУ, а также для обновления программного обеспечения</w:t>
            </w:r>
          </w:p>
        </w:tc>
        <w:tc>
          <w:tcPr>
            <w:tcW w:w="1269" w:type="dxa"/>
            <w:hideMark/>
          </w:tcPr>
          <w:p w14:paraId="68A79C34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по проводным каналам связи</w:t>
            </w:r>
          </w:p>
        </w:tc>
        <w:tc>
          <w:tcPr>
            <w:tcW w:w="1427" w:type="dxa"/>
            <w:hideMark/>
          </w:tcPr>
          <w:p w14:paraId="0120724D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bCs/>
                <w:sz w:val="16"/>
                <w:szCs w:val="16"/>
              </w:rPr>
              <w:t>по беспроводным каналам связи</w:t>
            </w:r>
          </w:p>
        </w:tc>
        <w:tc>
          <w:tcPr>
            <w:tcW w:w="1419" w:type="dxa"/>
            <w:vMerge/>
            <w:hideMark/>
          </w:tcPr>
          <w:p w14:paraId="54CDADAB" w14:textId="77777777" w:rsidR="003C092D" w:rsidRPr="00303F2E" w:rsidRDefault="003C092D" w:rsidP="003D447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93" w:type="dxa"/>
            <w:vMerge/>
            <w:hideMark/>
          </w:tcPr>
          <w:p w14:paraId="718C4DB7" w14:textId="77777777" w:rsidR="003C092D" w:rsidRPr="00303F2E" w:rsidRDefault="003C092D" w:rsidP="003D447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D447B" w:rsidRPr="00303F2E" w14:paraId="6DBDF51C" w14:textId="77777777" w:rsidTr="003D447B">
        <w:trPr>
          <w:trHeight w:val="1883"/>
        </w:trPr>
        <w:tc>
          <w:tcPr>
            <w:tcW w:w="1668" w:type="dxa"/>
            <w:hideMark/>
          </w:tcPr>
          <w:p w14:paraId="33D39902" w14:textId="77777777" w:rsidR="003C092D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D259B">
              <w:rPr>
                <w:rFonts w:ascii="Times New Roman" w:hAnsi="Times New Roman" w:cs="Times New Roman"/>
                <w:sz w:val="16"/>
                <w:szCs w:val="16"/>
              </w:rPr>
              <w:t>. ПО "Альфа Центр", ООО "</w:t>
            </w:r>
            <w:proofErr w:type="spellStart"/>
            <w:r w:rsidRPr="00AD259B">
              <w:rPr>
                <w:rFonts w:ascii="Times New Roman" w:hAnsi="Times New Roman" w:cs="Times New Roman"/>
                <w:sz w:val="16"/>
                <w:szCs w:val="16"/>
              </w:rPr>
              <w:t>Эльстер</w:t>
            </w:r>
            <w:proofErr w:type="spellEnd"/>
            <w:r w:rsidRPr="00AD25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D259B">
              <w:rPr>
                <w:rFonts w:ascii="Times New Roman" w:hAnsi="Times New Roman" w:cs="Times New Roman"/>
                <w:sz w:val="16"/>
                <w:szCs w:val="16"/>
              </w:rPr>
              <w:t>Метроника</w:t>
            </w:r>
            <w:proofErr w:type="spellEnd"/>
            <w:r w:rsidRPr="00AD259B">
              <w:rPr>
                <w:rFonts w:ascii="Times New Roman" w:hAnsi="Times New Roman" w:cs="Times New Roman"/>
                <w:sz w:val="16"/>
                <w:szCs w:val="16"/>
              </w:rPr>
              <w:t>" (Москва)</w:t>
            </w:r>
            <w:r w:rsidRPr="00AD259B">
              <w:rPr>
                <w:rFonts w:ascii="Times New Roman" w:hAnsi="Times New Roman" w:cs="Times New Roman"/>
                <w:sz w:val="16"/>
                <w:szCs w:val="16"/>
              </w:rPr>
              <w:br/>
              <w:t>2. ПК "</w:t>
            </w:r>
            <w:proofErr w:type="spellStart"/>
            <w:r w:rsidRPr="00AD259B">
              <w:rPr>
                <w:rFonts w:ascii="Times New Roman" w:hAnsi="Times New Roman" w:cs="Times New Roman"/>
                <w:sz w:val="16"/>
                <w:szCs w:val="16"/>
              </w:rPr>
              <w:t>Энергосфера</w:t>
            </w:r>
            <w:proofErr w:type="spellEnd"/>
            <w:r w:rsidRPr="00AD259B">
              <w:rPr>
                <w:rFonts w:ascii="Times New Roman" w:hAnsi="Times New Roman" w:cs="Times New Roman"/>
                <w:sz w:val="16"/>
                <w:szCs w:val="16"/>
              </w:rPr>
              <w:t>", ООО "</w:t>
            </w:r>
            <w:proofErr w:type="spellStart"/>
            <w:r w:rsidRPr="00AD259B">
              <w:rPr>
                <w:rFonts w:ascii="Times New Roman" w:hAnsi="Times New Roman" w:cs="Times New Roman"/>
                <w:sz w:val="16"/>
                <w:szCs w:val="16"/>
              </w:rPr>
              <w:t>Прософт</w:t>
            </w:r>
            <w:proofErr w:type="spellEnd"/>
            <w:r w:rsidRPr="00AD259B">
              <w:rPr>
                <w:rFonts w:ascii="Times New Roman" w:hAnsi="Times New Roman" w:cs="Times New Roman"/>
                <w:sz w:val="16"/>
                <w:szCs w:val="16"/>
              </w:rPr>
              <w:t>-Системы" (Екатеринбург)</w:t>
            </w:r>
          </w:p>
          <w:p w14:paraId="244225F7" w14:textId="241F5EA0" w:rsidR="0013058A" w:rsidRPr="00303F2E" w:rsidRDefault="0013058A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ПО «Пирамида 2.0» </w:t>
            </w:r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АО ГК "Системы и Технологии" (г. Владимир)</w:t>
            </w:r>
          </w:p>
        </w:tc>
        <w:tc>
          <w:tcPr>
            <w:tcW w:w="1417" w:type="dxa"/>
            <w:hideMark/>
          </w:tcPr>
          <w:p w14:paraId="18B7455B" w14:textId="77777777" w:rsidR="003C092D" w:rsidRPr="00303F2E" w:rsidRDefault="003C092D" w:rsidP="004201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sz w:val="16"/>
                <w:szCs w:val="16"/>
              </w:rPr>
              <w:t xml:space="preserve"> АРМ</w:t>
            </w:r>
          </w:p>
        </w:tc>
        <w:tc>
          <w:tcPr>
            <w:tcW w:w="1975" w:type="dxa"/>
            <w:noWrap/>
            <w:hideMark/>
          </w:tcPr>
          <w:p w14:paraId="49EC789E" w14:textId="77777777" w:rsidR="003C092D" w:rsidRPr="00303F2E" w:rsidRDefault="003C092D" w:rsidP="003D447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862" w:type="dxa"/>
            <w:noWrap/>
            <w:hideMark/>
          </w:tcPr>
          <w:p w14:paraId="0FDC26F5" w14:textId="77777777" w:rsidR="003C092D" w:rsidRPr="00303F2E" w:rsidRDefault="003C092D" w:rsidP="003D447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556" w:type="dxa"/>
            <w:noWrap/>
            <w:hideMark/>
          </w:tcPr>
          <w:p w14:paraId="0BCF4B84" w14:textId="77777777" w:rsidR="003C092D" w:rsidRPr="00303F2E" w:rsidRDefault="003C092D" w:rsidP="003D447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269" w:type="dxa"/>
            <w:noWrap/>
            <w:hideMark/>
          </w:tcPr>
          <w:p w14:paraId="2A90B782" w14:textId="77777777" w:rsidR="003C092D" w:rsidRPr="00303F2E" w:rsidRDefault="003C092D" w:rsidP="003D447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noWrap/>
            <w:hideMark/>
          </w:tcPr>
          <w:p w14:paraId="0CDCC4AE" w14:textId="77777777" w:rsidR="003C092D" w:rsidRPr="00303F2E" w:rsidRDefault="003C092D" w:rsidP="003D447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419" w:type="dxa"/>
            <w:hideMark/>
          </w:tcPr>
          <w:p w14:paraId="0C720182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sz w:val="16"/>
                <w:szCs w:val="16"/>
              </w:rPr>
              <w:t>На арендованных каналах связи GSM</w:t>
            </w:r>
          </w:p>
        </w:tc>
        <w:tc>
          <w:tcPr>
            <w:tcW w:w="2193" w:type="dxa"/>
            <w:hideMark/>
          </w:tcPr>
          <w:p w14:paraId="0CB097D8" w14:textId="77777777" w:rsidR="003C092D" w:rsidRPr="00303F2E" w:rsidRDefault="003C092D" w:rsidP="003D44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03F2E">
              <w:rPr>
                <w:rFonts w:ascii="Times New Roman" w:hAnsi="Times New Roman" w:cs="Times New Roman"/>
                <w:sz w:val="16"/>
                <w:szCs w:val="16"/>
              </w:rPr>
              <w:t>- Контроль баланса полученной и отпущенной электроэнергии</w:t>
            </w:r>
            <w:r w:rsidRPr="00303F2E">
              <w:rPr>
                <w:rFonts w:ascii="Times New Roman" w:hAnsi="Times New Roman" w:cs="Times New Roman"/>
                <w:sz w:val="16"/>
                <w:szCs w:val="16"/>
              </w:rPr>
              <w:br/>
              <w:t>- Получение профилей, показаний, журналов событий</w:t>
            </w:r>
            <w:r w:rsidRPr="00303F2E">
              <w:rPr>
                <w:rFonts w:ascii="Times New Roman" w:hAnsi="Times New Roman" w:cs="Times New Roman"/>
                <w:sz w:val="16"/>
                <w:szCs w:val="16"/>
              </w:rPr>
              <w:br/>
              <w:t>- Представление информации в табличном виде, возможность формирования различных макетов</w:t>
            </w:r>
          </w:p>
        </w:tc>
      </w:tr>
    </w:tbl>
    <w:p w14:paraId="2B71237E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6B570A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F6F24C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BA3B62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84D60C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147416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B62EC8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2D90BD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1673A8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5FDB6F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71FE46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34B22C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A42DA8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78608C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1C9E86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7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09"/>
        <w:gridCol w:w="992"/>
        <w:gridCol w:w="1134"/>
        <w:gridCol w:w="1525"/>
        <w:gridCol w:w="743"/>
        <w:gridCol w:w="1985"/>
        <w:gridCol w:w="850"/>
        <w:gridCol w:w="1134"/>
        <w:gridCol w:w="992"/>
        <w:gridCol w:w="1134"/>
        <w:gridCol w:w="839"/>
        <w:gridCol w:w="798"/>
      </w:tblGrid>
      <w:tr w:rsidR="00583B11" w:rsidRPr="00583B11" w14:paraId="20E924C8" w14:textId="77777777" w:rsidTr="00583B11">
        <w:trPr>
          <w:trHeight w:val="330"/>
        </w:trPr>
        <w:tc>
          <w:tcPr>
            <w:tcW w:w="1467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FA2EFB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B11">
              <w:rPr>
                <w:rFonts w:ascii="Times New Roman" w:hAnsi="Times New Roman" w:cs="Times New Roman"/>
                <w:bCs/>
                <w:sz w:val="24"/>
                <w:szCs w:val="24"/>
              </w:rPr>
              <w:t>Средний уровень УСУЭ - информационно-вычислительный комплекс электроустановки (далее - ИВКЭ)</w:t>
            </w:r>
          </w:p>
        </w:tc>
      </w:tr>
      <w:tr w:rsidR="00583B11" w:rsidRPr="00583B11" w14:paraId="47ACF651" w14:textId="77777777" w:rsidTr="0013058A">
        <w:trPr>
          <w:trHeight w:val="330"/>
        </w:trPr>
        <w:tc>
          <w:tcPr>
            <w:tcW w:w="8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DF14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Наименование, производитель (город)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D49D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Соответствие ИВКЭ требованиям </w:t>
            </w:r>
            <w:proofErr w:type="spellStart"/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абз</w:t>
            </w:r>
            <w:proofErr w:type="spellEnd"/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. 5 п. 4 Правил № 890 (+;-)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F566A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Место установки (монтажа)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F002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Способ определения кол-ва ИВКЭ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4BDB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Кол-во ПУ, контролируемых одним ИВКЭ (точек поставки, лицевых счетов для МКД)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BCD8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Совместимость с </w:t>
            </w:r>
            <w:proofErr w:type="gramStart"/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ПО верхнего уровня</w:t>
            </w:r>
            <w:proofErr w:type="gramEnd"/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, ПУ (наименование)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96B5B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Количество каналов в ИВКЭ по паспорту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D86770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Назначение ИВКЭ</w:t>
            </w:r>
          </w:p>
        </w:tc>
        <w:tc>
          <w:tcPr>
            <w:tcW w:w="29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05044F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Информационное взаимодействие компонентов и устройств ИСУЭ </w:t>
            </w:r>
            <w:proofErr w:type="gramStart"/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между:</w:t>
            </w: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ИВКЭ</w:t>
            </w:r>
            <w:proofErr w:type="gramEnd"/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 ПУ (вид применяемой технологии)</w:t>
            </w:r>
          </w:p>
        </w:tc>
        <w:tc>
          <w:tcPr>
            <w:tcW w:w="79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3359F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Основные функции ИВКЭ</w:t>
            </w:r>
          </w:p>
        </w:tc>
      </w:tr>
      <w:tr w:rsidR="00583B11" w:rsidRPr="00583B11" w14:paraId="1EEBA564" w14:textId="77777777" w:rsidTr="0013058A">
        <w:trPr>
          <w:trHeight w:val="2235"/>
        </w:trPr>
        <w:tc>
          <w:tcPr>
            <w:tcW w:w="8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726E4C" w14:textId="77777777" w:rsidR="00583B11" w:rsidRPr="00583B11" w:rsidRDefault="00583B11" w:rsidP="00583B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FE3087" w14:textId="77777777" w:rsidR="00583B11" w:rsidRPr="00583B11" w:rsidRDefault="00583B11" w:rsidP="00583B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98797F" w14:textId="77777777" w:rsidR="00583B11" w:rsidRPr="00583B11" w:rsidRDefault="00583B11" w:rsidP="00583B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79B76E" w14:textId="77777777" w:rsidR="00583B11" w:rsidRPr="00583B11" w:rsidRDefault="00583B11" w:rsidP="00583B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7EDCF1" w14:textId="77777777" w:rsidR="00583B11" w:rsidRPr="00583B11" w:rsidRDefault="00583B11" w:rsidP="00583B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EEC544" w14:textId="77777777" w:rsidR="00583B11" w:rsidRPr="00583B11" w:rsidRDefault="00583B11" w:rsidP="00583B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312B8FD" w14:textId="77777777" w:rsidR="00583B11" w:rsidRPr="00583B11" w:rsidRDefault="00583B11" w:rsidP="00583B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A258" w14:textId="77777777" w:rsidR="00583B11" w:rsidRPr="00583B11" w:rsidRDefault="00583B11" w:rsidP="00583B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для дистанционного считывания, накопления, обработки, хранения и отображения результатов измерений, количества и иных параметров электрической энергии, журналов событий и данных о параметрах настройки ПУ по протоколам обмена данными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DB0A" w14:textId="77777777" w:rsidR="00583B11" w:rsidRPr="00583B11" w:rsidRDefault="00583B11" w:rsidP="00583B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для управления ПУ, присоединенными к ИВКЭ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FD00" w14:textId="77777777" w:rsidR="00583B11" w:rsidRPr="00583B11" w:rsidRDefault="00583B11" w:rsidP="00583B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для  изменения</w:t>
            </w:r>
            <w:proofErr w:type="gramEnd"/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конфигурационных параметров ПУ, а также для обновления программного обеспечения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D831" w14:textId="77777777" w:rsidR="00583B11" w:rsidRPr="00583B11" w:rsidRDefault="00583B11" w:rsidP="00583B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по проводным каналам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BEEB" w14:textId="77777777" w:rsidR="00583B11" w:rsidRPr="00583B11" w:rsidRDefault="00583B11" w:rsidP="00583B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по беспроводным каналам связи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2585" w14:textId="77777777" w:rsidR="00583B11" w:rsidRPr="00583B11" w:rsidRDefault="00583B11" w:rsidP="00583B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по линиям электропередачи</w:t>
            </w:r>
          </w:p>
        </w:tc>
        <w:tc>
          <w:tcPr>
            <w:tcW w:w="798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074B96" w14:textId="77777777" w:rsidR="00583B11" w:rsidRPr="00583B11" w:rsidRDefault="00583B11" w:rsidP="00583B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83B11" w:rsidRPr="00583B11" w14:paraId="4A5F131A" w14:textId="77777777" w:rsidTr="0013058A">
        <w:trPr>
          <w:trHeight w:val="21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B662" w14:textId="2AA51EBA" w:rsidR="00583B11" w:rsidRPr="00583B11" w:rsidRDefault="00AD259B" w:rsidP="00AD25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УСПД </w:t>
            </w:r>
            <w:proofErr w:type="spellStart"/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Сикон</w:t>
            </w:r>
            <w:proofErr w:type="spellEnd"/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С50</w:t>
            </w:r>
            <w:r w:rsidR="00A406A4"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АО ГК "Системы и Технологии"</w:t>
            </w:r>
            <w:r w:rsidR="00583B11"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</w:t>
            </w:r>
            <w:r w:rsidR="00A406A4"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г.</w:t>
            </w:r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Владимир</w:t>
            </w:r>
            <w:r w:rsidR="00583B11"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AB42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80522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Тульская область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8A18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Проектно-изыскательские работы, проведенные подрядной организацией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A305" w14:textId="273A4644" w:rsidR="00583B11" w:rsidRPr="00583B11" w:rsidRDefault="00AD259B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15</w:t>
            </w:r>
            <w:r w:rsidR="00583B11"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ПУ (поддержка до 5000 ПУ</w:t>
            </w:r>
            <w:r w:rsidR="00583B11"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275A" w14:textId="77777777" w:rsid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1. ПО "Альфа Центр", ООО "</w:t>
            </w:r>
            <w:proofErr w:type="spellStart"/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Эльстер</w:t>
            </w:r>
            <w:proofErr w:type="spellEnd"/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Метроника</w:t>
            </w:r>
            <w:proofErr w:type="spellEnd"/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" (Москва)</w:t>
            </w:r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2. ПК "</w:t>
            </w:r>
            <w:proofErr w:type="spellStart"/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Энергосфера</w:t>
            </w:r>
            <w:proofErr w:type="spellEnd"/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", ООО "</w:t>
            </w:r>
            <w:proofErr w:type="spellStart"/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Прософт</w:t>
            </w:r>
            <w:proofErr w:type="spellEnd"/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-Системы" (Екатеринбург)</w:t>
            </w:r>
          </w:p>
          <w:p w14:paraId="2C81E1BE" w14:textId="0281F844" w:rsidR="0013058A" w:rsidRPr="00583B11" w:rsidRDefault="0013058A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 «Пирамида 2.0» </w:t>
            </w:r>
            <w:r w:rsidRPr="00AD259B">
              <w:rPr>
                <w:rFonts w:ascii="Times New Roman" w:hAnsi="Times New Roman" w:cs="Times New Roman"/>
                <w:bCs/>
                <w:sz w:val="16"/>
                <w:szCs w:val="16"/>
              </w:rPr>
              <w:t>АО ГК "Системы и Технологии" (г. Владимир)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F138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н/д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B7DA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FD1C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0FFC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1734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0BDE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25A8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167FD" w14:textId="77777777" w:rsidR="00583B11" w:rsidRPr="00583B11" w:rsidRDefault="00583B11" w:rsidP="0058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83B1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Получение профилей, показаний, журналов событий</w:t>
            </w:r>
          </w:p>
        </w:tc>
      </w:tr>
    </w:tbl>
    <w:p w14:paraId="3C6C9D25" w14:textId="77777777" w:rsidR="006C02AD" w:rsidRDefault="006C02AD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D55FF8" w14:textId="77777777" w:rsidR="00583B11" w:rsidRDefault="00583B11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CF8A87" w14:textId="77777777" w:rsidR="00583B11" w:rsidRDefault="00583B11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024A4A" w14:textId="77777777" w:rsidR="00583B11" w:rsidRDefault="00583B11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8CC6D" w14:textId="77777777" w:rsidR="00583B11" w:rsidRDefault="00583B11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F75FBF" w14:textId="77777777" w:rsidR="00583B11" w:rsidRDefault="00583B11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20D650" w14:textId="77777777" w:rsidR="00583B11" w:rsidRDefault="00583B11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CA902E" w14:textId="77777777" w:rsidR="00583B11" w:rsidRDefault="00583B11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663"/>
        <w:gridCol w:w="3157"/>
        <w:gridCol w:w="3260"/>
        <w:gridCol w:w="1985"/>
        <w:gridCol w:w="1134"/>
        <w:gridCol w:w="1211"/>
      </w:tblGrid>
      <w:tr w:rsidR="002D3ED9" w:rsidRPr="002D3ED9" w14:paraId="48D6F235" w14:textId="77777777" w:rsidTr="002D3ED9">
        <w:trPr>
          <w:trHeight w:val="330"/>
        </w:trPr>
        <w:tc>
          <w:tcPr>
            <w:tcW w:w="14786" w:type="dxa"/>
            <w:gridSpan w:val="7"/>
            <w:hideMark/>
          </w:tcPr>
          <w:p w14:paraId="320A1BBD" w14:textId="77777777" w:rsidR="002D3ED9" w:rsidRPr="002D3ED9" w:rsidRDefault="002D3ED9" w:rsidP="002D3ED9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ED9">
              <w:rPr>
                <w:rFonts w:ascii="Times New Roman" w:hAnsi="Times New Roman" w:cs="Times New Roman"/>
                <w:bCs/>
                <w:sz w:val="24"/>
                <w:szCs w:val="24"/>
              </w:rPr>
              <w:t>Нижний уровень УСУЭ - приборы учета электрической энергии (далее - ПУ)</w:t>
            </w:r>
          </w:p>
        </w:tc>
      </w:tr>
      <w:tr w:rsidR="002D3ED9" w:rsidRPr="002D3ED9" w14:paraId="1984B417" w14:textId="77777777" w:rsidTr="002D3ED9">
        <w:trPr>
          <w:trHeight w:val="330"/>
        </w:trPr>
        <w:tc>
          <w:tcPr>
            <w:tcW w:w="2376" w:type="dxa"/>
            <w:vMerge w:val="restart"/>
            <w:hideMark/>
          </w:tcPr>
          <w:p w14:paraId="7916BF35" w14:textId="77777777" w:rsidR="002D3ED9" w:rsidRPr="002D3ED9" w:rsidRDefault="002D3ED9" w:rsidP="002D3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Наименование, производитель (город)</w:t>
            </w:r>
          </w:p>
        </w:tc>
        <w:tc>
          <w:tcPr>
            <w:tcW w:w="1663" w:type="dxa"/>
            <w:vMerge w:val="restart"/>
            <w:hideMark/>
          </w:tcPr>
          <w:p w14:paraId="78B239EE" w14:textId="77777777" w:rsidR="002D3ED9" w:rsidRPr="002D3ED9" w:rsidRDefault="002D3ED9" w:rsidP="002D3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Соответствие ПУ, присоединяемого к ИСУ, требованиям </w:t>
            </w:r>
            <w:proofErr w:type="spellStart"/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абз</w:t>
            </w:r>
            <w:proofErr w:type="spellEnd"/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. 1 п. 4 Правил № 890 (+;-)</w:t>
            </w:r>
          </w:p>
        </w:tc>
        <w:tc>
          <w:tcPr>
            <w:tcW w:w="3157" w:type="dxa"/>
            <w:vMerge w:val="restart"/>
            <w:hideMark/>
          </w:tcPr>
          <w:p w14:paraId="68654C08" w14:textId="77777777" w:rsidR="002D3ED9" w:rsidRPr="002D3ED9" w:rsidRDefault="002D3ED9" w:rsidP="002D3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Способ передачи информации присоединенными к ИСУЭ ПУ (по проводным и (или) беспроводным сетям связи, а также по линиям электропередачи), вид применяемой технологии</w:t>
            </w:r>
          </w:p>
        </w:tc>
        <w:tc>
          <w:tcPr>
            <w:tcW w:w="5245" w:type="dxa"/>
            <w:gridSpan w:val="2"/>
            <w:hideMark/>
          </w:tcPr>
          <w:p w14:paraId="1122B064" w14:textId="77777777" w:rsidR="002D3ED9" w:rsidRPr="002D3ED9" w:rsidRDefault="002D3ED9" w:rsidP="002D3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Функционал ПУ</w:t>
            </w:r>
          </w:p>
        </w:tc>
        <w:tc>
          <w:tcPr>
            <w:tcW w:w="1134" w:type="dxa"/>
            <w:vMerge w:val="restart"/>
            <w:hideMark/>
          </w:tcPr>
          <w:p w14:paraId="7AD5ABDD" w14:textId="0202FEEB" w:rsidR="002D3ED9" w:rsidRPr="002D3ED9" w:rsidRDefault="00E32246" w:rsidP="00A10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Средняя стоимость </w:t>
            </w:r>
            <w:r w:rsidR="002D3ED9"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единицы ПУ в </w:t>
            </w:r>
            <w:r w:rsidR="00A10934">
              <w:rPr>
                <w:rFonts w:ascii="Times New Roman" w:hAnsi="Times New Roman" w:cs="Times New Roman"/>
                <w:bCs/>
                <w:sz w:val="16"/>
                <w:szCs w:val="16"/>
              </w:rPr>
              <w:t>ценах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A74E82">
              <w:rPr>
                <w:rFonts w:ascii="Times New Roman" w:hAnsi="Times New Roman" w:cs="Times New Roman"/>
                <w:bCs/>
                <w:sz w:val="16"/>
                <w:szCs w:val="16"/>
              </w:rPr>
              <w:t>202</w:t>
            </w:r>
            <w:r w:rsidR="00A10934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года, тыс. руб.</w:t>
            </w:r>
          </w:p>
        </w:tc>
        <w:tc>
          <w:tcPr>
            <w:tcW w:w="1211" w:type="dxa"/>
            <w:vMerge w:val="restart"/>
            <w:hideMark/>
          </w:tcPr>
          <w:p w14:paraId="722F3EAF" w14:textId="77777777" w:rsidR="002D3ED9" w:rsidRPr="002D3ED9" w:rsidRDefault="002D3ED9" w:rsidP="002D3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Кол-во ПУ, планируемых к установке</w:t>
            </w:r>
          </w:p>
        </w:tc>
      </w:tr>
      <w:tr w:rsidR="002D3ED9" w:rsidRPr="002D3ED9" w14:paraId="33F9ED0A" w14:textId="77777777" w:rsidTr="002D3ED9">
        <w:trPr>
          <w:trHeight w:val="2714"/>
        </w:trPr>
        <w:tc>
          <w:tcPr>
            <w:tcW w:w="2376" w:type="dxa"/>
            <w:vMerge/>
            <w:hideMark/>
          </w:tcPr>
          <w:p w14:paraId="12FD9B38" w14:textId="77777777" w:rsidR="002D3ED9" w:rsidRPr="002D3ED9" w:rsidRDefault="002D3ED9" w:rsidP="002D3ED9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63" w:type="dxa"/>
            <w:vMerge/>
            <w:hideMark/>
          </w:tcPr>
          <w:p w14:paraId="2638640D" w14:textId="77777777" w:rsidR="002D3ED9" w:rsidRPr="002D3ED9" w:rsidRDefault="002D3ED9" w:rsidP="002D3ED9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57" w:type="dxa"/>
            <w:vMerge/>
            <w:hideMark/>
          </w:tcPr>
          <w:p w14:paraId="5C62FCBF" w14:textId="77777777" w:rsidR="002D3ED9" w:rsidRPr="002D3ED9" w:rsidRDefault="002D3ED9" w:rsidP="002D3ED9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260" w:type="dxa"/>
            <w:hideMark/>
          </w:tcPr>
          <w:p w14:paraId="5C8703CD" w14:textId="77777777" w:rsidR="002D3ED9" w:rsidRPr="002D3ED9" w:rsidRDefault="002D3ED9" w:rsidP="002D3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осуществление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 (кроме ПУ трансформаторного включения)</w:t>
            </w:r>
          </w:p>
        </w:tc>
        <w:tc>
          <w:tcPr>
            <w:tcW w:w="1985" w:type="dxa"/>
            <w:hideMark/>
          </w:tcPr>
          <w:p w14:paraId="42A9B633" w14:textId="77777777" w:rsidR="002D3ED9" w:rsidRPr="002D3ED9" w:rsidRDefault="002D3ED9" w:rsidP="002D3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основные функции ПУ в соответствии с требованиями п. 28 Правил № 890</w:t>
            </w:r>
          </w:p>
        </w:tc>
        <w:tc>
          <w:tcPr>
            <w:tcW w:w="1134" w:type="dxa"/>
            <w:vMerge/>
            <w:hideMark/>
          </w:tcPr>
          <w:p w14:paraId="03BF9D7F" w14:textId="77777777" w:rsidR="002D3ED9" w:rsidRPr="002D3ED9" w:rsidRDefault="002D3ED9" w:rsidP="002D3ED9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11" w:type="dxa"/>
            <w:vMerge/>
            <w:hideMark/>
          </w:tcPr>
          <w:p w14:paraId="6909B1E1" w14:textId="77777777" w:rsidR="002D3ED9" w:rsidRPr="002D3ED9" w:rsidRDefault="002D3ED9" w:rsidP="002D3ED9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D3ED9" w:rsidRPr="002D3ED9" w14:paraId="3B67F7B6" w14:textId="77777777" w:rsidTr="002D3ED9">
        <w:trPr>
          <w:trHeight w:val="1648"/>
        </w:trPr>
        <w:tc>
          <w:tcPr>
            <w:tcW w:w="2376" w:type="dxa"/>
            <w:hideMark/>
          </w:tcPr>
          <w:p w14:paraId="13A2EFBF" w14:textId="3300648E" w:rsidR="002D3ED9" w:rsidRPr="002D3ED9" w:rsidRDefault="00867BE5" w:rsidP="00867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ТЕ2000.05.00.12 ЭН</w:t>
            </w:r>
            <w:r w:rsidR="002D3ED9"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(ООО 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ТЕХНОЭНЕРГО</w:t>
            </w:r>
            <w:r w:rsidR="002D3ED9"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", г.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Нижний Новгород</w:t>
            </w:r>
            <w:r w:rsidR="002D3ED9"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1663" w:type="dxa"/>
            <w:noWrap/>
            <w:hideMark/>
          </w:tcPr>
          <w:p w14:paraId="6CD424F6" w14:textId="77777777" w:rsidR="002D3ED9" w:rsidRPr="002D3ED9" w:rsidRDefault="002D3ED9" w:rsidP="00E32246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</w:p>
        </w:tc>
        <w:tc>
          <w:tcPr>
            <w:tcW w:w="3157" w:type="dxa"/>
            <w:hideMark/>
          </w:tcPr>
          <w:p w14:paraId="219AE283" w14:textId="77777777" w:rsidR="002D3ED9" w:rsidRPr="0013058A" w:rsidRDefault="002D3ED9" w:rsidP="00E322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058A">
              <w:rPr>
                <w:rFonts w:ascii="Times New Roman" w:hAnsi="Times New Roman" w:cs="Times New Roman"/>
                <w:bCs/>
                <w:sz w:val="16"/>
                <w:szCs w:val="16"/>
              </w:rPr>
              <w:t>Проводные RS-485 и беспроводные GSM технологии</w:t>
            </w:r>
          </w:p>
        </w:tc>
        <w:tc>
          <w:tcPr>
            <w:tcW w:w="3260" w:type="dxa"/>
            <w:noWrap/>
            <w:hideMark/>
          </w:tcPr>
          <w:p w14:paraId="4DF079DB" w14:textId="77777777" w:rsidR="002D3ED9" w:rsidRPr="002D3ED9" w:rsidRDefault="002D3ED9" w:rsidP="00E32246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5" w:type="dxa"/>
            <w:hideMark/>
          </w:tcPr>
          <w:p w14:paraId="1D7F9E3A" w14:textId="77777777" w:rsidR="002D3ED9" w:rsidRPr="002D3ED9" w:rsidRDefault="002D3ED9" w:rsidP="00E32246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</w:p>
        </w:tc>
        <w:tc>
          <w:tcPr>
            <w:tcW w:w="1134" w:type="dxa"/>
            <w:hideMark/>
          </w:tcPr>
          <w:p w14:paraId="43E5DE7A" w14:textId="5881E94F" w:rsidR="002D3ED9" w:rsidRPr="000516AA" w:rsidRDefault="000516AA" w:rsidP="00E322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516AA">
              <w:rPr>
                <w:rFonts w:ascii="Times New Roman" w:hAnsi="Times New Roman" w:cs="Times New Roman"/>
                <w:bCs/>
                <w:sz w:val="16"/>
                <w:szCs w:val="16"/>
              </w:rPr>
              <w:t>27,956</w:t>
            </w:r>
          </w:p>
        </w:tc>
        <w:tc>
          <w:tcPr>
            <w:tcW w:w="1211" w:type="dxa"/>
            <w:noWrap/>
            <w:hideMark/>
          </w:tcPr>
          <w:p w14:paraId="6494CC21" w14:textId="435858F1" w:rsidR="002D3ED9" w:rsidRPr="002D3ED9" w:rsidRDefault="00C1073A" w:rsidP="00E32246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</w:tr>
      <w:tr w:rsidR="00A74E82" w:rsidRPr="002D3ED9" w14:paraId="53DF2A06" w14:textId="77777777" w:rsidTr="002D3ED9">
        <w:trPr>
          <w:trHeight w:val="1648"/>
        </w:trPr>
        <w:tc>
          <w:tcPr>
            <w:tcW w:w="2376" w:type="dxa"/>
          </w:tcPr>
          <w:p w14:paraId="66C0D169" w14:textId="1C16ED86" w:rsidR="00A74E82" w:rsidRDefault="00A74E82" w:rsidP="00A74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ТЕ2000.22.00.12 ЭН</w:t>
            </w: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(ООО 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ТЕХНОЭНЕРГО</w:t>
            </w: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", г.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Нижний Новгород</w:t>
            </w:r>
            <w:r w:rsidRPr="002D3ED9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1663" w:type="dxa"/>
            <w:noWrap/>
          </w:tcPr>
          <w:p w14:paraId="0E2E8E3A" w14:textId="798F0F01" w:rsidR="00A74E82" w:rsidRPr="002D3ED9" w:rsidRDefault="00A74E82" w:rsidP="00E32246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</w:p>
        </w:tc>
        <w:tc>
          <w:tcPr>
            <w:tcW w:w="3157" w:type="dxa"/>
          </w:tcPr>
          <w:p w14:paraId="2B12FBD2" w14:textId="62382003" w:rsidR="00A74E82" w:rsidRPr="0013058A" w:rsidRDefault="0013058A" w:rsidP="00E322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058A">
              <w:rPr>
                <w:rFonts w:ascii="Times New Roman" w:hAnsi="Times New Roman" w:cs="Times New Roman"/>
                <w:bCs/>
                <w:sz w:val="16"/>
                <w:szCs w:val="16"/>
              </w:rPr>
              <w:t>Проводные RS-485 и беспроводные GSM технологии</w:t>
            </w:r>
          </w:p>
        </w:tc>
        <w:tc>
          <w:tcPr>
            <w:tcW w:w="3260" w:type="dxa"/>
            <w:noWrap/>
          </w:tcPr>
          <w:p w14:paraId="12537C56" w14:textId="37177C77" w:rsidR="00A74E82" w:rsidRPr="002D3ED9" w:rsidRDefault="00A74E82" w:rsidP="00E32246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5" w:type="dxa"/>
          </w:tcPr>
          <w:p w14:paraId="27D5A8F0" w14:textId="3C0B8529" w:rsidR="00A74E82" w:rsidRPr="002D3ED9" w:rsidRDefault="00A74E82" w:rsidP="00E32246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</w:p>
        </w:tc>
        <w:tc>
          <w:tcPr>
            <w:tcW w:w="1134" w:type="dxa"/>
          </w:tcPr>
          <w:p w14:paraId="4ABED3C8" w14:textId="4BB34567" w:rsidR="00A74E82" w:rsidRPr="000516AA" w:rsidRDefault="000516AA" w:rsidP="00E322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516AA">
              <w:rPr>
                <w:rFonts w:ascii="Times New Roman" w:hAnsi="Times New Roman" w:cs="Times New Roman"/>
                <w:bCs/>
                <w:sz w:val="16"/>
                <w:szCs w:val="16"/>
              </w:rPr>
              <w:t>28,805</w:t>
            </w:r>
          </w:p>
        </w:tc>
        <w:tc>
          <w:tcPr>
            <w:tcW w:w="1211" w:type="dxa"/>
            <w:noWrap/>
          </w:tcPr>
          <w:p w14:paraId="15CF7C45" w14:textId="47331C12" w:rsidR="00A74E82" w:rsidRPr="002D3ED9" w:rsidRDefault="00C1073A" w:rsidP="00E32246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</w:tr>
    </w:tbl>
    <w:p w14:paraId="1E96E646" w14:textId="77777777" w:rsidR="00583B11" w:rsidRDefault="00583B11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0CC726" w14:textId="77777777" w:rsidR="00583B11" w:rsidRDefault="00583B11" w:rsidP="00EF3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40CDBA" w14:textId="77777777" w:rsidR="00E32246" w:rsidRPr="00E32246" w:rsidRDefault="00EB5DBB" w:rsidP="00E3224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32246" w:rsidRPr="00E32246" w:rsidSect="006C02AD">
          <w:pgSz w:w="16838" w:h="11906" w:orient="landscape"/>
          <w:pgMar w:top="1559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Общие </w:t>
      </w:r>
      <w:r w:rsidR="0042015D" w:rsidRPr="00420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финансовые потребности </w:t>
      </w:r>
      <w:r w:rsidR="00E32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32246" w:rsidRPr="00E32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 </w:t>
      </w:r>
      <w:r w:rsidR="00E32246" w:rsidRPr="000D1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АИИС КУЭ ООО «Газпром </w:t>
      </w:r>
      <w:proofErr w:type="gramStart"/>
      <w:r w:rsidR="00E32246" w:rsidRPr="000D1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энерго»</w:t>
      </w:r>
      <w:r w:rsidR="00E32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="00CB6E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приведены</w:t>
      </w:r>
      <w:r w:rsidR="00E32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п. 4 Пояснительной записки.</w:t>
      </w:r>
    </w:p>
    <w:p w14:paraId="30213901" w14:textId="77777777" w:rsidR="00870B4F" w:rsidRPr="00AB50B9" w:rsidRDefault="00870B4F" w:rsidP="00870B4F">
      <w:pPr>
        <w:pStyle w:val="a4"/>
        <w:numPr>
          <w:ilvl w:val="0"/>
          <w:numId w:val="10"/>
        </w:numPr>
        <w:tabs>
          <w:tab w:val="left" w:pos="31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5" w:name="_Toc164869830"/>
      <w:r w:rsidRPr="00AB50B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Порядок расчета количественных показателей </w:t>
      </w:r>
      <w:r w:rsidRPr="00AB50B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мероприятия по Инвестиционной </w:t>
      </w:r>
      <w:r w:rsidRPr="00870B4F">
        <w:rPr>
          <w:rFonts w:ascii="Times New Roman" w:hAnsi="Times New Roman" w:cs="Times New Roman"/>
          <w:b/>
          <w:sz w:val="24"/>
          <w:szCs w:val="24"/>
        </w:rPr>
        <w:t xml:space="preserve">программе </w:t>
      </w:r>
      <w:bookmarkEnd w:id="2"/>
      <w:r w:rsidRPr="00870B4F">
        <w:rPr>
          <w:rFonts w:ascii="Times New Roman" w:hAnsi="Times New Roman" w:cs="Times New Roman"/>
          <w:b/>
          <w:sz w:val="24"/>
          <w:szCs w:val="24"/>
        </w:rPr>
        <w:t>«Интеллектуальная система учета электроэнергии Центрального филиала ООО "Газпром энерго" в Тульской области»</w:t>
      </w:r>
      <w:bookmarkEnd w:id="5"/>
    </w:p>
    <w:p w14:paraId="0594AC84" w14:textId="77777777" w:rsidR="000A4267" w:rsidRPr="000A4267" w:rsidRDefault="00192857" w:rsidP="000F2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рамках реализации инвестиционного проекта (</w:t>
      </w:r>
      <w:r w:rsidR="00333A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L_ПУ23/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3118DD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Интеллектуальная система учета электроэнергии Центрального филиала ООО "Газпром энерго" в Тульской области</w:t>
      </w:r>
      <w:r w:rsidR="003118DD"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 количественный показатель </w:t>
      </w:r>
      <w:r w:rsidR="000A4267" w:rsidRPr="000A4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объема финансовых потребностей, необходимых для реализации мероприятий, направленных на выполнение требований регламентов рынк</w:t>
      </w:r>
      <w:r w:rsidR="000A4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электрической энергии (</w:t>
      </w:r>
      <w:proofErr w:type="spellStart"/>
      <w:r w:rsidR="000A4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Фтрр</w:t>
      </w:r>
      <w:proofErr w:type="spellEnd"/>
      <w:r w:rsidR="000A4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</w:t>
      </w:r>
      <w:r w:rsidR="000A4267" w:rsidRPr="000A4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пределяется как планируемый (фактический) объем финансирования в соответствующем плановом (отчетном) периоде мероприятий, предусмотренных инвестиционным проектом, реализация которых обусловлена необходимостью выполнения сетевой организацией требований, предусмотренных регламентами рынков электрической энергии.</w:t>
      </w:r>
    </w:p>
    <w:p w14:paraId="33AAEC91" w14:textId="77777777" w:rsidR="00142F8C" w:rsidRDefault="003118DD" w:rsidP="000F28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Объем финансирования инвестиционного проекта 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33A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L_ПУ23/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«Интеллектуальная система учета электроэнергии Центрального филиала ООО "Газпром энерго" в Тульской области» </w:t>
      </w:r>
      <w:r w:rsidRPr="001F1473">
        <w:rPr>
          <w:rFonts w:ascii="Times New Roman" w:hAnsi="Times New Roman" w:cs="Times New Roman"/>
          <w:sz w:val="24"/>
          <w:szCs w:val="24"/>
        </w:rPr>
        <w:t xml:space="preserve">обосновывается сметным расчетом, выполненным в соответствии с укрупненными нормативами цен типовых технологических решений капитального строительства объектов электроэнергетики, утвержденными Министерством </w:t>
      </w:r>
      <w:r w:rsidR="009A7F5C">
        <w:rPr>
          <w:rFonts w:ascii="Times New Roman" w:hAnsi="Times New Roman" w:cs="Times New Roman"/>
          <w:sz w:val="24"/>
          <w:szCs w:val="24"/>
        </w:rPr>
        <w:t>энергетики Российской Федерации.</w:t>
      </w:r>
    </w:p>
    <w:p w14:paraId="3F423B63" w14:textId="77777777" w:rsidR="00850944" w:rsidRDefault="009464DE" w:rsidP="000F28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Основные эффектообразующие факторы от внедрения</w:t>
      </w:r>
      <w:r w:rsidR="00EB5DBB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5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«Интеллектуальная 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учета электроэнергии Центрального филиала ООО "Газпром энерго" в Тульской области»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установке приборов учета отсутствуют.</w:t>
      </w:r>
      <w:r w:rsidR="00446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связи с тем, что </w:t>
      </w:r>
      <w:r w:rsidR="00850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отчетные (фактические)</w:t>
      </w:r>
      <w:r w:rsidR="00446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потери </w:t>
      </w:r>
      <w:r w:rsidR="00CB2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732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сетях электроснабжения потребителей</w:t>
      </w:r>
      <w:r w:rsidR="00850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56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границе балансовой принадлежности которых планируется установка приборов учета</w:t>
      </w:r>
      <w:r w:rsidR="00850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56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превышают нормативные потери</w:t>
      </w:r>
      <w:r w:rsidR="00356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32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установки приборов учета</w:t>
      </w:r>
      <w:r w:rsidR="00856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(реализации инвестиционного проекта)</w:t>
      </w:r>
      <w:r w:rsidR="00732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50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отсутствует снижение</w:t>
      </w:r>
      <w:r w:rsidR="00356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«коммерческих» потерь</w:t>
      </w:r>
      <w:r w:rsidR="00856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AED0E18" w14:textId="77777777" w:rsidR="00192857" w:rsidRDefault="002A1AE9" w:rsidP="000F28F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23429359" w14:textId="3D72F61D" w:rsidR="00BA154C" w:rsidRPr="00924A93" w:rsidRDefault="00BA154C" w:rsidP="00BA154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6" w:name="_Toc70329754"/>
      <w:bookmarkStart w:id="7" w:name="_Toc164869831"/>
      <w:r w:rsidRPr="00956B0C">
        <w:rPr>
          <w:rFonts w:ascii="Times New Roman" w:hAnsi="Times New Roman" w:cs="Times New Roman"/>
          <w:b/>
          <w:sz w:val="24"/>
          <w:szCs w:val="24"/>
        </w:rPr>
        <w:t>Планируемые расходы на реализацию мероприятия</w:t>
      </w:r>
      <w:r w:rsidRPr="00924A93">
        <w:rPr>
          <w:rFonts w:ascii="Times New Roman" w:hAnsi="Times New Roman" w:cs="Times New Roman"/>
          <w:b/>
        </w:rPr>
        <w:t xml:space="preserve"> </w:t>
      </w:r>
      <w:r w:rsidRPr="00924A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«Создание интеллектуальной системы учета электроэнергии Центрального филиала ООО "Газп</w:t>
      </w:r>
      <w:r w:rsidR="00325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ром энерго" в Тульской области»</w:t>
      </w:r>
      <w:r w:rsidRPr="00924A93">
        <w:rPr>
          <w:rFonts w:ascii="Times New Roman" w:hAnsi="Times New Roman" w:cs="Times New Roman"/>
          <w:b/>
        </w:rPr>
        <w:t xml:space="preserve"> </w:t>
      </w:r>
      <w:r w:rsidRPr="00E73822">
        <w:rPr>
          <w:rFonts w:ascii="Times New Roman" w:hAnsi="Times New Roman" w:cs="Times New Roman"/>
          <w:b/>
          <w:sz w:val="24"/>
          <w:szCs w:val="24"/>
        </w:rPr>
        <w:t>с распределением по годам</w:t>
      </w:r>
      <w:bookmarkEnd w:id="6"/>
      <w:bookmarkEnd w:id="7"/>
    </w:p>
    <w:p w14:paraId="577092D1" w14:textId="4E4B3845" w:rsidR="00496E47" w:rsidRDefault="00496E47" w:rsidP="000B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Величина затрат на реализацию мероприятия </w:t>
      </w:r>
      <w:r w:rsidRPr="00496E47">
        <w:rPr>
          <w:rFonts w:ascii="Times New Roman" w:hAnsi="Times New Roman" w:cs="Times New Roman"/>
          <w:sz w:val="24"/>
          <w:szCs w:val="24"/>
        </w:rPr>
        <w:t>Создание интеллектуальной системы учета электроэнергии Центрального филиала ООО "Газпром энерго" в Тульской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определена в соответствии с локальным ресурсным сметным расчетом.</w:t>
      </w:r>
    </w:p>
    <w:p w14:paraId="39A84476" w14:textId="7DF8D069" w:rsidR="000B1C6A" w:rsidRDefault="000B1C6A" w:rsidP="000B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Локальный ресурсный сметный расчет включает в себя приобретение </w:t>
      </w:r>
      <w:r w:rsidRPr="009A7F5C">
        <w:rPr>
          <w:rFonts w:ascii="Times New Roman" w:hAnsi="Times New Roman" w:cs="Times New Roman"/>
          <w:sz w:val="24"/>
          <w:szCs w:val="24"/>
        </w:rPr>
        <w:t>информационно-измерительного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7F5C">
        <w:rPr>
          <w:rFonts w:ascii="Times New Roman" w:hAnsi="Times New Roman" w:cs="Times New Roman"/>
          <w:sz w:val="24"/>
          <w:szCs w:val="24"/>
        </w:rPr>
        <w:t>(далее - ИИК)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212AA">
        <w:rPr>
          <w:rFonts w:ascii="Times New Roman" w:hAnsi="Times New Roman" w:cs="Times New Roman"/>
          <w:sz w:val="24"/>
          <w:szCs w:val="24"/>
        </w:rPr>
        <w:t>информационно-вычислительн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212AA">
        <w:rPr>
          <w:rFonts w:ascii="Times New Roman" w:hAnsi="Times New Roman" w:cs="Times New Roman"/>
          <w:sz w:val="24"/>
          <w:szCs w:val="24"/>
        </w:rPr>
        <w:t xml:space="preserve"> комплекс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212AA">
        <w:rPr>
          <w:rFonts w:ascii="Times New Roman" w:hAnsi="Times New Roman" w:cs="Times New Roman"/>
          <w:sz w:val="24"/>
          <w:szCs w:val="24"/>
        </w:rPr>
        <w:t xml:space="preserve"> верхнего уровня </w:t>
      </w:r>
      <w:r>
        <w:rPr>
          <w:rFonts w:ascii="Times New Roman" w:hAnsi="Times New Roman" w:cs="Times New Roman"/>
          <w:sz w:val="24"/>
          <w:szCs w:val="24"/>
        </w:rPr>
        <w:t>(далее –</w:t>
      </w:r>
      <w:r w:rsidRPr="004212AA">
        <w:rPr>
          <w:rFonts w:ascii="Times New Roman" w:hAnsi="Times New Roman" w:cs="Times New Roman"/>
          <w:sz w:val="24"/>
          <w:szCs w:val="24"/>
        </w:rPr>
        <w:t xml:space="preserve"> ИВКЭ</w:t>
      </w:r>
      <w:r>
        <w:rPr>
          <w:rFonts w:ascii="Times New Roman" w:hAnsi="Times New Roman" w:cs="Times New Roman"/>
          <w:sz w:val="24"/>
          <w:szCs w:val="24"/>
        </w:rPr>
        <w:t xml:space="preserve">) и </w:t>
      </w:r>
      <w:r w:rsidRPr="005F289B">
        <w:rPr>
          <w:rFonts w:ascii="Times New Roman" w:hAnsi="Times New Roman" w:cs="Times New Roman"/>
          <w:sz w:val="24"/>
          <w:szCs w:val="24"/>
        </w:rPr>
        <w:t>АРМ оперативного персонала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DD074A" w14:textId="77777777" w:rsidR="000B1C6A" w:rsidRPr="004212AA" w:rsidRDefault="000B1C6A" w:rsidP="000B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2AA">
        <w:rPr>
          <w:rFonts w:ascii="Times New Roman" w:hAnsi="Times New Roman" w:cs="Times New Roman"/>
          <w:sz w:val="24"/>
          <w:szCs w:val="24"/>
        </w:rPr>
        <w:t>ИИК обеспечивает: цифровые интерфейсы связи (оптический и электрический), хранение профиля принятой и отданной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2AA">
        <w:rPr>
          <w:rFonts w:ascii="Times New Roman" w:hAnsi="Times New Roman" w:cs="Times New Roman"/>
          <w:sz w:val="24"/>
          <w:szCs w:val="24"/>
        </w:rPr>
        <w:t xml:space="preserve"> активной и реактивной энергии, программирование (перепрограммирование) прибора учета, передачу данных в информационно-вычислительные комплексы верхнего уровня или в ИВКЭ, локальное и удаленное считывание с прибора учета результатов измерения, количества и иных параметров электрической энергии, журналов событий и данных о параметрах настройки, в том числе управление прибором учета и нагрузкой.</w:t>
      </w:r>
    </w:p>
    <w:p w14:paraId="66296A39" w14:textId="2A7E7F3F" w:rsidR="000B1C6A" w:rsidRDefault="000B1C6A" w:rsidP="000B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2AA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затраты на</w:t>
      </w:r>
      <w:r w:rsidRPr="004212AA">
        <w:rPr>
          <w:rFonts w:ascii="Times New Roman" w:hAnsi="Times New Roman" w:cs="Times New Roman"/>
          <w:sz w:val="24"/>
          <w:szCs w:val="24"/>
        </w:rPr>
        <w:t xml:space="preserve"> ИИК включено: стоимость оборудования (многотарифный (многофункциональный) прибор учета, выносной дисплей, модем), стоимость материалов (шкаф, испытательные </w:t>
      </w:r>
      <w:proofErr w:type="spellStart"/>
      <w:r w:rsidRPr="004212AA">
        <w:rPr>
          <w:rFonts w:ascii="Times New Roman" w:hAnsi="Times New Roman" w:cs="Times New Roman"/>
          <w:sz w:val="24"/>
          <w:szCs w:val="24"/>
        </w:rPr>
        <w:t>клеммные</w:t>
      </w:r>
      <w:proofErr w:type="spellEnd"/>
      <w:r w:rsidRPr="004212AA">
        <w:rPr>
          <w:rFonts w:ascii="Times New Roman" w:hAnsi="Times New Roman" w:cs="Times New Roman"/>
          <w:sz w:val="24"/>
          <w:szCs w:val="24"/>
        </w:rPr>
        <w:t xml:space="preserve"> коробки и автоматические выключатели (далее - АВ), рубильники, устройство заземления, соединительные провода) без учета ввода к потребителю, стоимость монтажных (в том числе демонтаж существующего оборудования) работ по установке оборудования, а также сопутствующие затраты.</w:t>
      </w:r>
    </w:p>
    <w:p w14:paraId="5F1612CA" w14:textId="77777777" w:rsidR="000B1C6A" w:rsidRPr="004212AA" w:rsidRDefault="000B1C6A" w:rsidP="000B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2AA">
        <w:rPr>
          <w:rFonts w:ascii="Times New Roman" w:hAnsi="Times New Roman" w:cs="Times New Roman"/>
          <w:sz w:val="24"/>
          <w:szCs w:val="24"/>
        </w:rPr>
        <w:t xml:space="preserve">Оборудование ИВКЭ включает: оборудование связи, маршрутизаторы, коммутаторы, устройство сбора (хранения, передачи) данных учета электроэнергии </w:t>
      </w:r>
      <w:r w:rsidRPr="004212AA">
        <w:rPr>
          <w:rFonts w:ascii="Times New Roman" w:hAnsi="Times New Roman" w:cs="Times New Roman"/>
          <w:sz w:val="24"/>
          <w:szCs w:val="24"/>
        </w:rPr>
        <w:lastRenderedPageBreak/>
        <w:t xml:space="preserve">(система телемеханики), система обогрева шкафа, ограничитель импульсных перенапряжений, антенна, блок питания, ИБП, модемы. </w:t>
      </w:r>
    </w:p>
    <w:p w14:paraId="09BE2820" w14:textId="74D6C623" w:rsidR="000B1C6A" w:rsidRDefault="000B1C6A" w:rsidP="000B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2AA">
        <w:rPr>
          <w:rFonts w:ascii="Times New Roman" w:hAnsi="Times New Roman" w:cs="Times New Roman"/>
          <w:sz w:val="24"/>
          <w:szCs w:val="24"/>
        </w:rPr>
        <w:t>ИВКЭ обеспечивает: цифровые интерфейсы с поддержкой протоколов передачи данных, аналоговых (дискретных) входов, дискретных выходов, опрос контролируемых ИИК, сбор и передача данных телесигнализации и телеизмерений, прием и выполнение команд телеуправления.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2AA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затраты на</w:t>
      </w:r>
      <w:r w:rsidRPr="004212AA">
        <w:rPr>
          <w:rFonts w:ascii="Times New Roman" w:hAnsi="Times New Roman" w:cs="Times New Roman"/>
          <w:sz w:val="24"/>
          <w:szCs w:val="24"/>
        </w:rPr>
        <w:t xml:space="preserve"> ИВКЭ включено: стоимость оборудования, стоимость шкафа (стойки) для размещения оборудования, стоимость монтажных работ (в том числе демонтаж существующего оборудования) с учетом стоимости используемого материала (кабельного хозяйства, заземления), затраты на настройку и наладку системы, а также сопутствующие затраты.</w:t>
      </w:r>
    </w:p>
    <w:p w14:paraId="098EDDBF" w14:textId="53CAA10C" w:rsidR="00273E3A" w:rsidRDefault="00273E3A" w:rsidP="000B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2A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затраты на</w:t>
      </w:r>
      <w:r w:rsidRPr="004212AA">
        <w:rPr>
          <w:rFonts w:ascii="Times New Roman" w:hAnsi="Times New Roman" w:cs="Times New Roman"/>
          <w:sz w:val="24"/>
          <w:szCs w:val="24"/>
        </w:rPr>
        <w:t xml:space="preserve"> АРМ оперативного персонала включено оборудование (в том числе ПО для оперативного персонала) в составе: рабочая станция с мониторами, центральный многоядерный процессор, системный блок, десятки гигабайт оперативной памяти, И</w:t>
      </w:r>
      <w:r>
        <w:rPr>
          <w:rFonts w:ascii="Times New Roman" w:hAnsi="Times New Roman" w:cs="Times New Roman"/>
          <w:sz w:val="24"/>
          <w:szCs w:val="24"/>
        </w:rPr>
        <w:t>БП для бесперебойной работы АРМ</w:t>
      </w:r>
      <w:r w:rsidRPr="004212AA">
        <w:rPr>
          <w:rFonts w:ascii="Times New Roman" w:hAnsi="Times New Roman" w:cs="Times New Roman"/>
          <w:sz w:val="24"/>
          <w:szCs w:val="24"/>
        </w:rPr>
        <w:t>.</w:t>
      </w:r>
    </w:p>
    <w:p w14:paraId="5932C847" w14:textId="488754FC" w:rsidR="00BA154C" w:rsidRDefault="00C67AD8" w:rsidP="00C67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сметная стоимость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425E7">
        <w:rPr>
          <w:rFonts w:ascii="Times New Roman" w:hAnsi="Times New Roman" w:cs="Times New Roman"/>
          <w:sz w:val="24"/>
          <w:szCs w:val="24"/>
        </w:rPr>
        <w:t>проекта</w:t>
      </w:r>
      <w:proofErr w:type="gramEnd"/>
      <w:r w:rsidR="004425E7">
        <w:rPr>
          <w:rFonts w:ascii="Times New Roman" w:hAnsi="Times New Roman" w:cs="Times New Roman"/>
          <w:sz w:val="24"/>
          <w:szCs w:val="24"/>
        </w:rPr>
        <w:t xml:space="preserve"> на планируемый год реализации составляет</w:t>
      </w:r>
      <w:r w:rsidR="00BA154C" w:rsidRPr="004212A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83" w:type="dxa"/>
        <w:tblInd w:w="108" w:type="dxa"/>
        <w:tblLook w:val="04A0" w:firstRow="1" w:lastRow="0" w:firstColumn="1" w:lastColumn="0" w:noHBand="0" w:noVBand="1"/>
      </w:tblPr>
      <w:tblGrid>
        <w:gridCol w:w="600"/>
        <w:gridCol w:w="2661"/>
        <w:gridCol w:w="2409"/>
        <w:gridCol w:w="2113"/>
        <w:gridCol w:w="1800"/>
      </w:tblGrid>
      <w:tr w:rsidR="004425E7" w:rsidRPr="004425E7" w14:paraId="7F665705" w14:textId="77777777" w:rsidTr="004425E7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3B8B" w14:textId="77777777" w:rsidR="004425E7" w:rsidRPr="004425E7" w:rsidRDefault="004425E7" w:rsidP="00442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3A69" w14:textId="77777777" w:rsidR="004425E7" w:rsidRPr="004425E7" w:rsidRDefault="004425E7" w:rsidP="00442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8BCF" w14:textId="77777777" w:rsidR="004425E7" w:rsidRPr="004425E7" w:rsidRDefault="004425E7" w:rsidP="00442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F6FE" w14:textId="2357B8C8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425E7" w:rsidRPr="004425E7" w14:paraId="7E3AD92E" w14:textId="77777777" w:rsidTr="004425E7">
        <w:trPr>
          <w:trHeight w:val="1260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55879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BFE4F5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BF8464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производственного назначения, тыс. руб.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6ADB2" w14:textId="07A010EA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1 проектно-изыскательские работы, тыс. руб.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825671" w14:textId="22B5A62B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 монтаж оборудования, тыс. руб.</w:t>
            </w:r>
          </w:p>
        </w:tc>
      </w:tr>
      <w:tr w:rsidR="004425E7" w:rsidRPr="004425E7" w14:paraId="7234F629" w14:textId="77777777" w:rsidTr="004425E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AB964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6F895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B625D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97BC0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5D593B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25E7" w:rsidRPr="004425E7" w14:paraId="1DF74B73" w14:textId="77777777" w:rsidTr="004425E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D478E7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F396C" w14:textId="77777777" w:rsidR="004425E7" w:rsidRPr="004425E7" w:rsidRDefault="004425E7" w:rsidP="00442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A8F52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2 016,84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90147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2B505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1 603,59</w:t>
            </w:r>
          </w:p>
        </w:tc>
      </w:tr>
      <w:tr w:rsidR="004425E7" w:rsidRPr="004425E7" w14:paraId="60BD6D30" w14:textId="77777777" w:rsidTr="004425E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62AF5" w14:textId="04C9CCF3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ACAF9" w14:textId="77777777" w:rsidR="004425E7" w:rsidRPr="004425E7" w:rsidRDefault="004425E7" w:rsidP="00442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строительных и монтажных работ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9A7B9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1 556,89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42206" w14:textId="18B5583D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A1467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1 556,89</w:t>
            </w:r>
          </w:p>
        </w:tc>
      </w:tr>
      <w:tr w:rsidR="004425E7" w:rsidRPr="004425E7" w14:paraId="55B43195" w14:textId="77777777" w:rsidTr="004425E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2A600" w14:textId="38A72F6C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7267E" w14:textId="77777777" w:rsidR="004425E7" w:rsidRPr="004425E7" w:rsidRDefault="004425E7" w:rsidP="00442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оборудования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C771B" w14:textId="073A09F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421DA7" w14:textId="2480020A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785726" w14:textId="342B9A72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425E7" w:rsidRPr="004425E7" w14:paraId="2EABC530" w14:textId="77777777" w:rsidTr="004425E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DF06BA" w14:textId="3F0849A4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21977" w14:textId="77777777" w:rsidR="004425E7" w:rsidRPr="004425E7" w:rsidRDefault="004425E7" w:rsidP="00442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прочих затрат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7A281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459,95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1F225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4379FD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46,71</w:t>
            </w:r>
          </w:p>
        </w:tc>
      </w:tr>
      <w:tr w:rsidR="004425E7" w:rsidRPr="004425E7" w14:paraId="0BE8ACA4" w14:textId="77777777" w:rsidTr="004425E7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899F5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F70579" w14:textId="77777777" w:rsidR="004425E7" w:rsidRPr="004425E7" w:rsidRDefault="004425E7" w:rsidP="00442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 всего, в том числе: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9D902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2 420,21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270AB4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6139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1 924,31</w:t>
            </w:r>
          </w:p>
        </w:tc>
      </w:tr>
      <w:tr w:rsidR="004425E7" w:rsidRPr="004425E7" w14:paraId="3BCCF2FB" w14:textId="77777777" w:rsidTr="004425E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3B676" w14:textId="19B3FFB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BD77B" w14:textId="77777777" w:rsidR="004425E7" w:rsidRPr="004425E7" w:rsidRDefault="004425E7" w:rsidP="00442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НДС (20%)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68B62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403,37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E18A0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38CCA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320,72</w:t>
            </w:r>
          </w:p>
        </w:tc>
      </w:tr>
      <w:tr w:rsidR="004425E7" w:rsidRPr="004425E7" w14:paraId="1CAB2FC5" w14:textId="77777777" w:rsidTr="004425E7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92599B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461A8" w14:textId="77777777" w:rsidR="004425E7" w:rsidRPr="004425E7" w:rsidRDefault="004425E7" w:rsidP="00442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 сметная стоимость в прогнозном уровне цен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33568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2 420,21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4CCA4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6BA524" w14:textId="77777777" w:rsidR="004425E7" w:rsidRPr="004425E7" w:rsidRDefault="004425E7" w:rsidP="0044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1 924,31</w:t>
            </w:r>
          </w:p>
        </w:tc>
      </w:tr>
    </w:tbl>
    <w:p w14:paraId="0514DB88" w14:textId="77777777" w:rsidR="004425E7" w:rsidRDefault="004425E7" w:rsidP="00C67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2D2DC4" w14:textId="77777777" w:rsidR="00BA154C" w:rsidRPr="008E2457" w:rsidRDefault="00BA154C" w:rsidP="00BA15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A5BA3DD" w14:textId="315B827F" w:rsidR="00870B4F" w:rsidRPr="00A366A6" w:rsidRDefault="00F14296" w:rsidP="00424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424CF3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</w:t>
      </w:r>
      <w:r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424CF3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стоимост</w:t>
      </w:r>
      <w:r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424CF3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инвестиционного проекта в соответствии с укрупненными нормативами цены типовых технологических решений капитального строительства объектов электроэнергетики в текущих ценах</w:t>
      </w:r>
      <w:r w:rsidR="00A366A6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 </w:t>
      </w:r>
      <w:r w:rsidR="00A366A6"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>5,735151 м</w:t>
      </w:r>
      <w:r w:rsidR="00A366A6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лн. руб.</w:t>
      </w:r>
      <w:r w:rsidR="00424CF3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НДС) </w:t>
      </w:r>
      <w:r w:rsidR="00635979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424CF3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прогнозных ценах соответств</w:t>
      </w:r>
      <w:r w:rsidR="00EB37D4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ующих лет</w:t>
      </w:r>
      <w:r w:rsidR="00A366A6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6,070236</w:t>
      </w:r>
      <w:r w:rsidR="00EB37D4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млн рублей (с НДС)</w:t>
      </w:r>
      <w:r w:rsidR="00BA4C64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7255E4" w14:textId="0B0C4E9A" w:rsidR="00B60475" w:rsidRDefault="00A366A6" w:rsidP="00424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60475"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</w:t>
      </w:r>
      <w:r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B60475"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</w:t>
      </w:r>
      <w:r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B60475"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инвестиционного проекта в соответствии с </w:t>
      </w:r>
      <w:r w:rsidRPr="00A366A6">
        <w:rPr>
          <w:rFonts w:ascii="Times New Roman" w:hAnsi="Times New Roman" w:cs="Times New Roman"/>
          <w:sz w:val="24"/>
          <w:szCs w:val="24"/>
        </w:rPr>
        <w:t>локальным ресурсным сметным расчетом</w:t>
      </w:r>
      <w:r w:rsidR="00B60475"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</w:t>
      </w:r>
      <w:r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>яет</w:t>
      </w:r>
      <w:r w:rsidR="00B60475"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6D87"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>2,420205</w:t>
      </w:r>
      <w:r w:rsidR="00282C6E"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2C6E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млн. руб. (с НДС). </w:t>
      </w:r>
      <w:r w:rsidR="00243662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п.</w:t>
      </w:r>
      <w:r w:rsidR="00D409BB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243662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постановления Правительства РФ №977 от 01.12.2009,</w:t>
      </w:r>
      <w:r w:rsidR="00282C6E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общая стоимость реализации инвестиционного проекта определяется </w:t>
      </w:r>
      <w:r w:rsidR="00243662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расчетам, произведенным </w:t>
      </w:r>
      <w:r w:rsidRPr="00A3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Pr="00A366A6">
        <w:rPr>
          <w:rFonts w:ascii="Times New Roman" w:hAnsi="Times New Roman" w:cs="Times New Roman"/>
          <w:sz w:val="24"/>
          <w:szCs w:val="24"/>
        </w:rPr>
        <w:t>локальным ресурсным сметным расчетом</w:t>
      </w:r>
      <w:r w:rsidR="00282C6E" w:rsidRPr="00A36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88D5A5F" w14:textId="7248D7FC" w:rsidR="00424CF3" w:rsidRPr="00EC3F5C" w:rsidRDefault="00424CF3" w:rsidP="00424CF3">
      <w:pPr>
        <w:spacing w:after="0" w:line="240" w:lineRule="auto"/>
        <w:ind w:firstLine="393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ru-RU"/>
        </w:rPr>
      </w:pPr>
    </w:p>
    <w:p w14:paraId="01D0A969" w14:textId="77777777" w:rsidR="00424CF3" w:rsidRDefault="00424CF3" w:rsidP="00424CF3">
      <w:pPr>
        <w:spacing w:after="0"/>
        <w:ind w:firstLine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FFCBC7" w14:textId="77777777" w:rsidR="006C762E" w:rsidRPr="00EC1795" w:rsidRDefault="00F56413" w:rsidP="00EC1795">
      <w:pPr>
        <w:pStyle w:val="a4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8" w:name="_Toc164869832"/>
      <w:r w:rsidRPr="00EC1795">
        <w:rPr>
          <w:rFonts w:ascii="Times New Roman" w:hAnsi="Times New Roman" w:cs="Times New Roman"/>
          <w:b/>
          <w:sz w:val="24"/>
          <w:szCs w:val="24"/>
        </w:rPr>
        <w:t>И</w:t>
      </w:r>
      <w:r w:rsidR="006C762E" w:rsidRPr="00EC1795">
        <w:rPr>
          <w:rFonts w:ascii="Times New Roman" w:hAnsi="Times New Roman" w:cs="Times New Roman"/>
          <w:b/>
          <w:sz w:val="24"/>
          <w:szCs w:val="24"/>
        </w:rPr>
        <w:t>нформация, указанная в абзацах 12-18 стандартов раскрытия информации субъектами оптового и розничных рынков электрической энергии</w:t>
      </w:r>
      <w:bookmarkEnd w:id="8"/>
    </w:p>
    <w:p w14:paraId="3C3978B2" w14:textId="77777777" w:rsidR="007646CC" w:rsidRDefault="00240ED2" w:rsidP="00924A93">
      <w:pPr>
        <w:spacing w:after="0"/>
        <w:ind w:firstLine="391"/>
        <w:jc w:val="both"/>
      </w:pPr>
      <w:r w:rsidRPr="00240ED2">
        <w:rPr>
          <w:rFonts w:ascii="Times New Roman" w:hAnsi="Times New Roman" w:cs="Times New Roman"/>
          <w:sz w:val="24"/>
          <w:szCs w:val="24"/>
        </w:rPr>
        <w:t xml:space="preserve">Информация, указанная в абзацах 12-18 стандартов раскрытия информации субъектами оптового и розничных рынков электрической энергии в соответствии с </w:t>
      </w:r>
      <w:r w:rsidRPr="0024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 </w:t>
      </w:r>
      <w:r w:rsidRPr="0024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Правительства РФ от 21 января 2004 г. N 24 "Об утверждении стандартов раскрытия информации субъектами оптового и розничных рынков электрической энергии"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размещена </w:t>
      </w:r>
      <w:r w:rsidRPr="00240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официальной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сайте ООО «Газпром энерго» </w:t>
      </w:r>
      <w:hyperlink r:id="rId12" w:history="1">
        <w:r>
          <w:rPr>
            <w:rStyle w:val="a6"/>
            <w:lang w:eastAsia="ru-RU"/>
          </w:rPr>
          <w:t>www.gazpromenergo.gazprom.ru</w:t>
        </w:r>
      </w:hyperlink>
      <w:r w:rsidR="007646CC">
        <w:rPr>
          <w:lang w:eastAsia="ru-RU"/>
        </w:rPr>
        <w:t xml:space="preserve">, </w:t>
      </w:r>
      <w:hyperlink r:id="rId13" w:history="1">
        <w:r w:rsidR="007646CC">
          <w:rPr>
            <w:rStyle w:val="a6"/>
          </w:rPr>
          <w:t>https://gazpromenergo.gazprom.ru/investors/1/</w:t>
        </w:r>
      </w:hyperlink>
      <w:r w:rsidR="00924A93">
        <w:rPr>
          <w:rStyle w:val="a6"/>
        </w:rPr>
        <w:t>.</w:t>
      </w:r>
    </w:p>
    <w:p w14:paraId="03D8289F" w14:textId="77777777" w:rsidR="006C762E" w:rsidRPr="00240ED2" w:rsidRDefault="006C762E" w:rsidP="007646CC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9B1B14" w14:textId="77777777" w:rsidR="001F1473" w:rsidRPr="00D91956" w:rsidRDefault="00142F8C" w:rsidP="00EC1795">
      <w:pPr>
        <w:pStyle w:val="a4"/>
        <w:numPr>
          <w:ilvl w:val="0"/>
          <w:numId w:val="10"/>
        </w:numPr>
        <w:tabs>
          <w:tab w:val="left" w:pos="1418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9" w:name="_Toc164869833"/>
      <w:r w:rsidRPr="00D91956">
        <w:rPr>
          <w:rFonts w:ascii="Times New Roman" w:hAnsi="Times New Roman" w:cs="Times New Roman"/>
          <w:b/>
          <w:sz w:val="24"/>
          <w:szCs w:val="24"/>
        </w:rPr>
        <w:t>Заключение о целях и результатах выполнения инвестиционных проектов</w:t>
      </w:r>
      <w:bookmarkEnd w:id="9"/>
    </w:p>
    <w:p w14:paraId="576A9466" w14:textId="77777777" w:rsidR="00D91956" w:rsidRDefault="003B698E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Цел</w:t>
      </w:r>
      <w:r w:rsidR="00870B4F">
        <w:rPr>
          <w:rFonts w:ascii="Times New Roman" w:hAnsi="Times New Roman" w:cs="Times New Roman"/>
          <w:sz w:val="24"/>
          <w:szCs w:val="24"/>
        </w:rPr>
        <w:t>ью</w:t>
      </w:r>
      <w:r w:rsidRPr="001F1473">
        <w:rPr>
          <w:rFonts w:ascii="Times New Roman" w:hAnsi="Times New Roman" w:cs="Times New Roman"/>
          <w:sz w:val="24"/>
          <w:szCs w:val="24"/>
        </w:rPr>
        <w:t xml:space="preserve"> инвестиционной программы ООО «Газпром энерго» на 20</w:t>
      </w:r>
      <w:r w:rsidR="0051047B" w:rsidRPr="001F1473">
        <w:rPr>
          <w:rFonts w:ascii="Times New Roman" w:hAnsi="Times New Roman" w:cs="Times New Roman"/>
          <w:sz w:val="24"/>
          <w:szCs w:val="24"/>
        </w:rPr>
        <w:t>22</w:t>
      </w:r>
      <w:r w:rsidRPr="001F1473">
        <w:rPr>
          <w:rFonts w:ascii="Times New Roman" w:hAnsi="Times New Roman" w:cs="Times New Roman"/>
          <w:sz w:val="24"/>
          <w:szCs w:val="24"/>
        </w:rPr>
        <w:t>-202</w:t>
      </w:r>
      <w:r w:rsidR="0051047B" w:rsidRPr="001F1473">
        <w:rPr>
          <w:rFonts w:ascii="Times New Roman" w:hAnsi="Times New Roman" w:cs="Times New Roman"/>
          <w:sz w:val="24"/>
          <w:szCs w:val="24"/>
        </w:rPr>
        <w:t>6</w:t>
      </w:r>
      <w:r w:rsidRPr="001F1473">
        <w:rPr>
          <w:rFonts w:ascii="Times New Roman" w:hAnsi="Times New Roman" w:cs="Times New Roman"/>
          <w:sz w:val="24"/>
          <w:szCs w:val="24"/>
        </w:rPr>
        <w:t xml:space="preserve"> гг. </w:t>
      </w:r>
      <w:r w:rsidR="00870B4F">
        <w:rPr>
          <w:rFonts w:ascii="Times New Roman" w:hAnsi="Times New Roman" w:cs="Times New Roman"/>
          <w:sz w:val="24"/>
          <w:szCs w:val="24"/>
        </w:rPr>
        <w:t>по реализации инвестиционного проекта</w:t>
      </w:r>
      <w:r w:rsidR="00B4783E" w:rsidRPr="001F1473">
        <w:rPr>
          <w:rFonts w:ascii="Times New Roman" w:hAnsi="Times New Roman" w:cs="Times New Roman"/>
          <w:sz w:val="24"/>
          <w:szCs w:val="24"/>
        </w:rPr>
        <w:t xml:space="preserve"> 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«Интеллектуальная система учета электроэнергии Центрального филиала ООО "Газпром энерго" в </w:t>
      </w:r>
      <w:r w:rsidR="00483C9B" w:rsidRPr="001F1473">
        <w:rPr>
          <w:rFonts w:ascii="Times New Roman" w:hAnsi="Times New Roman" w:cs="Times New Roman"/>
          <w:sz w:val="24"/>
          <w:szCs w:val="24"/>
        </w:rPr>
        <w:t>Тульской</w:t>
      </w:r>
      <w:r w:rsidR="0051047B" w:rsidRPr="001F1473">
        <w:rPr>
          <w:rFonts w:ascii="Times New Roman" w:hAnsi="Times New Roman" w:cs="Times New Roman"/>
          <w:sz w:val="24"/>
          <w:szCs w:val="24"/>
        </w:rPr>
        <w:t xml:space="preserve"> области» является соблюдение требований действующего законодательства РФ</w:t>
      </w:r>
      <w:r w:rsidR="00483C9B" w:rsidRPr="001F1473">
        <w:rPr>
          <w:rFonts w:ascii="Times New Roman" w:hAnsi="Times New Roman" w:cs="Times New Roman"/>
          <w:sz w:val="24"/>
          <w:szCs w:val="24"/>
        </w:rPr>
        <w:t>.</w:t>
      </w:r>
    </w:p>
    <w:p w14:paraId="2ECBE77F" w14:textId="77777777" w:rsidR="00142F8C" w:rsidRPr="001F1473" w:rsidRDefault="00870B4F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проекта</w:t>
      </w:r>
      <w:r w:rsidR="00142F8C" w:rsidRPr="001F1473">
        <w:rPr>
          <w:rFonts w:ascii="Times New Roman" w:hAnsi="Times New Roman" w:cs="Times New Roman"/>
          <w:sz w:val="24"/>
          <w:szCs w:val="24"/>
        </w:rPr>
        <w:t xml:space="preserve"> Инвестиционной программы 2022-2026 гг. направлена на приведение существующей системы учета электроэнергии к т</w:t>
      </w:r>
      <w:r>
        <w:rPr>
          <w:rFonts w:ascii="Times New Roman" w:hAnsi="Times New Roman" w:cs="Times New Roman"/>
          <w:sz w:val="24"/>
          <w:szCs w:val="24"/>
        </w:rPr>
        <w:t xml:space="preserve">ребованиям законодательства РФ </w:t>
      </w:r>
      <w:r w:rsidR="00142F8C" w:rsidRPr="001F1473">
        <w:rPr>
          <w:rFonts w:ascii="Times New Roman" w:hAnsi="Times New Roman" w:cs="Times New Roman"/>
          <w:sz w:val="24"/>
          <w:szCs w:val="24"/>
        </w:rPr>
        <w:t>в следующих объемах:</w:t>
      </w:r>
    </w:p>
    <w:tbl>
      <w:tblPr>
        <w:tblW w:w="9619" w:type="dxa"/>
        <w:jc w:val="center"/>
        <w:tblLook w:val="04A0" w:firstRow="1" w:lastRow="0" w:firstColumn="1" w:lastColumn="0" w:noHBand="0" w:noVBand="1"/>
      </w:tblPr>
      <w:tblGrid>
        <w:gridCol w:w="567"/>
        <w:gridCol w:w="3251"/>
        <w:gridCol w:w="1798"/>
        <w:gridCol w:w="1762"/>
        <w:gridCol w:w="2241"/>
      </w:tblGrid>
      <w:tr w:rsidR="00333A29" w:rsidRPr="001F1473" w14:paraId="14E83094" w14:textId="77777777" w:rsidTr="007A6CE0">
        <w:trPr>
          <w:trHeight w:val="6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AFD4" w14:textId="77777777"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D7236CD" w14:textId="77777777"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27B2" w14:textId="77777777" w:rsidR="00333A29" w:rsidRPr="002B773D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proofErr w:type="spellStart"/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Наименование</w:t>
            </w:r>
            <w:proofErr w:type="spellEnd"/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 xml:space="preserve"> </w:t>
            </w:r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инвестиционного </w:t>
            </w:r>
            <w:proofErr w:type="spellStart"/>
            <w:r w:rsidRPr="002B773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проекта</w:t>
            </w:r>
            <w:proofErr w:type="spell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8AD9B" w14:textId="77777777" w:rsidR="00333A29" w:rsidRPr="00333A29" w:rsidRDefault="00333A29" w:rsidP="00333A29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Идентификатор инвестиционного проекта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8FA43" w14:textId="0BF95C20" w:rsidR="00333A29" w:rsidRPr="002B773D" w:rsidRDefault="00333A29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</w:pPr>
            <w:proofErr w:type="spellStart"/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Количество</w:t>
            </w:r>
            <w:proofErr w:type="spellEnd"/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="009E071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по</w:t>
            </w:r>
            <w:proofErr w:type="spellEnd"/>
            <w:r w:rsidR="009E071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="009E071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и</w:t>
            </w: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нвестиционной</w:t>
            </w:r>
            <w:proofErr w:type="spellEnd"/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программе</w:t>
            </w:r>
            <w:proofErr w:type="spellEnd"/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5A5D8" w14:textId="77777777" w:rsidR="00333A29" w:rsidRPr="002B773D" w:rsidRDefault="00333A29" w:rsidP="009A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Полная стоимость проекта в ценах года реализации ИП, </w:t>
            </w:r>
            <w:proofErr w:type="spellStart"/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млн.руб</w:t>
            </w:r>
            <w:proofErr w:type="spellEnd"/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. </w:t>
            </w:r>
            <w:r w:rsidR="009A7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</w:t>
            </w:r>
            <w:r w:rsidRPr="002B77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НДС</w:t>
            </w:r>
          </w:p>
        </w:tc>
      </w:tr>
      <w:tr w:rsidR="00333A29" w:rsidRPr="001F1473" w14:paraId="752B776D" w14:textId="77777777" w:rsidTr="009A7F5C">
        <w:trPr>
          <w:trHeight w:val="10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60D4" w14:textId="77777777"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6E4C" w14:textId="77777777" w:rsidR="00333A29" w:rsidRPr="001F1473" w:rsidRDefault="00333A29" w:rsidP="0033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473">
              <w:rPr>
                <w:rFonts w:ascii="Times New Roman" w:hAnsi="Times New Roman" w:cs="Times New Roman"/>
                <w:sz w:val="24"/>
                <w:szCs w:val="24"/>
              </w:rPr>
              <w:t>Интеллектуальная система учета электроэнергии Центрального филиала ООО "Газпром энерго»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325D0" w14:textId="77777777" w:rsidR="00333A29" w:rsidRPr="001F1473" w:rsidRDefault="00333A29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4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L_ПУ23/1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E6BFC" w14:textId="0A724114" w:rsidR="00333A29" w:rsidRPr="001F1473" w:rsidRDefault="00940470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333A29" w:rsidRPr="001F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70FF1" w14:textId="1137DB6A" w:rsidR="00333A29" w:rsidRPr="001F1473" w:rsidRDefault="00940470" w:rsidP="00FC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2,420205</w:t>
            </w:r>
          </w:p>
        </w:tc>
      </w:tr>
    </w:tbl>
    <w:p w14:paraId="1F917980" w14:textId="77777777" w:rsidR="00924A93" w:rsidRDefault="00924A93" w:rsidP="002700FE">
      <w:pPr>
        <w:pStyle w:val="Default"/>
        <w:ind w:left="393"/>
        <w:outlineLvl w:val="0"/>
        <w:rPr>
          <w:rFonts w:eastAsiaTheme="minorHAnsi"/>
          <w:b/>
          <w:color w:val="auto"/>
          <w:lang w:eastAsia="en-US"/>
        </w:rPr>
      </w:pPr>
    </w:p>
    <w:p w14:paraId="2AEEE25E" w14:textId="77777777" w:rsidR="003B698E" w:rsidRPr="001F1473" w:rsidRDefault="003B698E" w:rsidP="00B95609">
      <w:pPr>
        <w:pStyle w:val="Default"/>
        <w:numPr>
          <w:ilvl w:val="0"/>
          <w:numId w:val="10"/>
        </w:numPr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10" w:name="_Toc164869834"/>
      <w:r w:rsidRPr="001F1473">
        <w:rPr>
          <w:rFonts w:eastAsiaTheme="minorHAnsi"/>
          <w:b/>
          <w:color w:val="auto"/>
          <w:lang w:eastAsia="en-US"/>
        </w:rPr>
        <w:t>Контроль за реализацией инвестиционной программы</w:t>
      </w:r>
      <w:bookmarkEnd w:id="10"/>
    </w:p>
    <w:p w14:paraId="296EF2D6" w14:textId="77777777" w:rsidR="00483C9B" w:rsidRPr="001F1473" w:rsidRDefault="00483C9B" w:rsidP="005F3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Контроль за ходом реализации инвестиционной программы осуществляется в соответствии с Правилами осуществления контроля за реализацией инвестиционных программ субъектов электроэнергетики, утверждёнными постановлением Правительства РФ от 01.12.2009 № 977.</w:t>
      </w:r>
    </w:p>
    <w:p w14:paraId="2066C88C" w14:textId="77777777" w:rsidR="00483C9B" w:rsidRDefault="00483C9B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Информация о фактических расходах по реализации инвестиционных проектов предоставляется ежеквартально не позднее чем через 45 дней после окончания отчетного квартала, путем размещения на официальном сайте системы в соответствии со стандартами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21.01.2004 №24 "Об утверждении стандартов раскрытия информации субъектами оптового и розничных рынков электрической энергии", отчетов о реализации инвестиционных программ за предыдущий квартал.</w:t>
      </w:r>
    </w:p>
    <w:p w14:paraId="22285D4E" w14:textId="16E6676F" w:rsidR="007279F8" w:rsidRPr="001F1473" w:rsidRDefault="007279F8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Ежеквартально осуществляется отчет по реализации Инвестиционной Программе по </w:t>
      </w:r>
      <w:r w:rsidR="005F3684">
        <w:rPr>
          <w:rFonts w:ascii="Times New Roman" w:hAnsi="Times New Roman" w:cs="Times New Roman"/>
          <w:sz w:val="24"/>
          <w:szCs w:val="24"/>
        </w:rPr>
        <w:t>п</w:t>
      </w:r>
      <w:r w:rsidR="005F3684" w:rsidRPr="005F3684">
        <w:rPr>
          <w:rFonts w:ascii="Times New Roman" w:hAnsi="Times New Roman" w:cs="Times New Roman"/>
          <w:sz w:val="24"/>
          <w:szCs w:val="24"/>
        </w:rPr>
        <w:t>риказу ФСТ России от 20.02.2014 №202-э "Об утверждении формы отчета об использовании инвестиционных ресурсов, включенных в регулируемые государством цены (тарифы) в сфере электроэнергети</w:t>
      </w:r>
      <w:r w:rsidR="00BA4C64">
        <w:rPr>
          <w:rFonts w:ascii="Times New Roman" w:hAnsi="Times New Roman" w:cs="Times New Roman"/>
          <w:sz w:val="24"/>
          <w:szCs w:val="24"/>
        </w:rPr>
        <w:t xml:space="preserve">ки и в сфере теплоснабжения" и </w:t>
      </w:r>
      <w:r w:rsidR="005F3684">
        <w:rPr>
          <w:rFonts w:ascii="Times New Roman" w:hAnsi="Times New Roman" w:cs="Times New Roman"/>
          <w:sz w:val="24"/>
          <w:szCs w:val="24"/>
        </w:rPr>
        <w:t>п</w:t>
      </w:r>
      <w:r w:rsidR="005F3684" w:rsidRPr="005F3684">
        <w:rPr>
          <w:rFonts w:ascii="Times New Roman" w:hAnsi="Times New Roman" w:cs="Times New Roman"/>
          <w:sz w:val="24"/>
          <w:szCs w:val="24"/>
        </w:rPr>
        <w:t>риказ</w:t>
      </w:r>
      <w:r w:rsidR="005F3684">
        <w:rPr>
          <w:rFonts w:ascii="Times New Roman" w:hAnsi="Times New Roman" w:cs="Times New Roman"/>
          <w:sz w:val="24"/>
          <w:szCs w:val="24"/>
        </w:rPr>
        <w:t>у</w:t>
      </w:r>
      <w:r w:rsidR="005F3684" w:rsidRPr="005F3684">
        <w:rPr>
          <w:rFonts w:ascii="Times New Roman" w:hAnsi="Times New Roman" w:cs="Times New Roman"/>
          <w:sz w:val="24"/>
          <w:szCs w:val="24"/>
        </w:rPr>
        <w:t xml:space="preserve"> М</w:t>
      </w:r>
      <w:r w:rsidR="005F3684">
        <w:rPr>
          <w:rFonts w:ascii="Times New Roman" w:hAnsi="Times New Roman" w:cs="Times New Roman"/>
          <w:sz w:val="24"/>
          <w:szCs w:val="24"/>
        </w:rPr>
        <w:t>инэнерго России от 24.03.2010 №</w:t>
      </w:r>
      <w:r w:rsidR="005F3684" w:rsidRPr="005F3684">
        <w:rPr>
          <w:rFonts w:ascii="Times New Roman" w:hAnsi="Times New Roman" w:cs="Times New Roman"/>
          <w:sz w:val="24"/>
          <w:szCs w:val="24"/>
        </w:rPr>
        <w:t>114 "Об утверждении формы инвестиционной программы субъектов электроэнергетики, в уставных капиталах которых участвует госу</w:t>
      </w:r>
      <w:r w:rsidR="005F3684">
        <w:rPr>
          <w:rFonts w:ascii="Times New Roman" w:hAnsi="Times New Roman" w:cs="Times New Roman"/>
          <w:sz w:val="24"/>
          <w:szCs w:val="24"/>
        </w:rPr>
        <w:t>дарство, и сетевых организаций".</w:t>
      </w:r>
    </w:p>
    <w:p w14:paraId="019046E4" w14:textId="77777777" w:rsidR="00483C9B" w:rsidRDefault="00483C9B" w:rsidP="00BA4C64">
      <w:pPr>
        <w:spacing w:after="0" w:line="240" w:lineRule="auto"/>
        <w:ind w:firstLine="393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Ежегодно, до 1 апреля, размещается на официальном сайте системы в соответствии со стандартами раскрытия информации отчеты</w:t>
      </w:r>
      <w:r w:rsidR="005F3684">
        <w:rPr>
          <w:rFonts w:ascii="Times New Roman" w:hAnsi="Times New Roman" w:cs="Times New Roman"/>
          <w:sz w:val="24"/>
          <w:szCs w:val="24"/>
        </w:rPr>
        <w:t xml:space="preserve"> по утвержденным формам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 реализации инвестиционных программ за предыдущий год.</w:t>
      </w:r>
    </w:p>
    <w:p w14:paraId="1B427AE4" w14:textId="77777777" w:rsidR="00247EE1" w:rsidRDefault="00247EE1" w:rsidP="00BA4C64">
      <w:pPr>
        <w:spacing w:after="0" w:line="240" w:lineRule="auto"/>
        <w:ind w:firstLine="393"/>
        <w:jc w:val="both"/>
        <w:rPr>
          <w:rFonts w:ascii="Times New Roman" w:hAnsi="Times New Roman" w:cs="Times New Roman"/>
          <w:sz w:val="24"/>
          <w:szCs w:val="24"/>
        </w:rPr>
      </w:pPr>
    </w:p>
    <w:p w14:paraId="60713BEB" w14:textId="77777777" w:rsidR="00247EE1" w:rsidRDefault="00247EE1" w:rsidP="00BA4C64">
      <w:pPr>
        <w:spacing w:after="0" w:line="240" w:lineRule="auto"/>
        <w:ind w:firstLine="393"/>
        <w:jc w:val="both"/>
        <w:rPr>
          <w:rFonts w:ascii="Times New Roman" w:hAnsi="Times New Roman" w:cs="Times New Roman"/>
          <w:sz w:val="24"/>
          <w:szCs w:val="24"/>
        </w:rPr>
      </w:pPr>
    </w:p>
    <w:p w14:paraId="73147DF6" w14:textId="77777777" w:rsidR="00247EE1" w:rsidRDefault="00247EE1" w:rsidP="00BA4C64">
      <w:pPr>
        <w:spacing w:after="0" w:line="240" w:lineRule="auto"/>
        <w:ind w:firstLine="393"/>
        <w:jc w:val="both"/>
        <w:rPr>
          <w:rFonts w:ascii="Times New Roman" w:hAnsi="Times New Roman" w:cs="Times New Roman"/>
          <w:sz w:val="24"/>
          <w:szCs w:val="24"/>
        </w:rPr>
      </w:pPr>
    </w:p>
    <w:p w14:paraId="74312D2A" w14:textId="77777777" w:rsidR="00247EE1" w:rsidRDefault="00247EE1" w:rsidP="00BA4C64">
      <w:pPr>
        <w:spacing w:after="0" w:line="240" w:lineRule="auto"/>
        <w:ind w:firstLine="393"/>
        <w:jc w:val="both"/>
        <w:rPr>
          <w:rFonts w:ascii="Times New Roman" w:hAnsi="Times New Roman" w:cs="Times New Roman"/>
          <w:sz w:val="24"/>
          <w:szCs w:val="24"/>
        </w:rPr>
      </w:pPr>
    </w:p>
    <w:p w14:paraId="1D9EAC8E" w14:textId="77777777" w:rsidR="00247EE1" w:rsidRDefault="00247EE1" w:rsidP="00BA4C64">
      <w:pPr>
        <w:spacing w:after="0" w:line="240" w:lineRule="auto"/>
        <w:ind w:firstLine="393"/>
        <w:jc w:val="both"/>
        <w:rPr>
          <w:rFonts w:ascii="Times New Roman" w:hAnsi="Times New Roman" w:cs="Times New Roman"/>
          <w:sz w:val="24"/>
          <w:szCs w:val="24"/>
        </w:rPr>
      </w:pPr>
    </w:p>
    <w:p w14:paraId="16FC4C3B" w14:textId="77777777" w:rsidR="00837B10" w:rsidRDefault="00837B10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053E23" w14:textId="4762E639" w:rsidR="00837B10" w:rsidRPr="005B2D2F" w:rsidRDefault="00837B10" w:rsidP="00B95609">
      <w:pPr>
        <w:pStyle w:val="Default"/>
        <w:numPr>
          <w:ilvl w:val="0"/>
          <w:numId w:val="10"/>
        </w:numPr>
        <w:ind w:firstLine="540"/>
        <w:jc w:val="center"/>
        <w:outlineLvl w:val="0"/>
      </w:pPr>
      <w:bookmarkStart w:id="11" w:name="_Toc164869835"/>
      <w:r w:rsidRPr="005B2D2F">
        <w:rPr>
          <w:rFonts w:eastAsiaTheme="minorHAnsi"/>
          <w:b/>
          <w:color w:val="auto"/>
          <w:lang w:eastAsia="en-US"/>
        </w:rPr>
        <w:lastRenderedPageBreak/>
        <w:t xml:space="preserve">Поадресный </w:t>
      </w:r>
      <w:r w:rsidR="00A05655">
        <w:rPr>
          <w:rFonts w:eastAsiaTheme="minorHAnsi"/>
          <w:b/>
          <w:color w:val="auto"/>
          <w:lang w:eastAsia="en-US"/>
        </w:rPr>
        <w:t xml:space="preserve">перечень планируемых </w:t>
      </w:r>
      <w:r w:rsidR="00A233D4" w:rsidRPr="005B2D2F">
        <w:rPr>
          <w:rFonts w:eastAsiaTheme="minorHAnsi"/>
          <w:b/>
          <w:color w:val="auto"/>
          <w:lang w:eastAsia="en-US"/>
        </w:rPr>
        <w:t xml:space="preserve">к установке </w:t>
      </w:r>
      <w:r w:rsidR="00940470">
        <w:rPr>
          <w:rFonts w:eastAsiaTheme="minorHAnsi"/>
          <w:b/>
          <w:color w:val="auto"/>
          <w:lang w:eastAsia="en-US"/>
        </w:rPr>
        <w:t>15</w:t>
      </w:r>
      <w:r w:rsidR="00C67878">
        <w:rPr>
          <w:rFonts w:eastAsiaTheme="minorHAnsi"/>
          <w:b/>
          <w:color w:val="auto"/>
          <w:lang w:eastAsia="en-US"/>
        </w:rPr>
        <w:t xml:space="preserve"> </w:t>
      </w:r>
      <w:r w:rsidR="00A233D4" w:rsidRPr="005B2D2F">
        <w:rPr>
          <w:rFonts w:eastAsiaTheme="minorHAnsi"/>
          <w:b/>
          <w:color w:val="auto"/>
          <w:lang w:eastAsia="en-US"/>
        </w:rPr>
        <w:t>ПУ</w:t>
      </w:r>
      <w:r w:rsidR="00CF170A">
        <w:rPr>
          <w:rFonts w:eastAsiaTheme="minorHAnsi"/>
          <w:b/>
          <w:color w:val="auto"/>
          <w:lang w:eastAsia="en-US"/>
        </w:rPr>
        <w:t xml:space="preserve"> взамен ПУ, не отвечающим требованиям законодательства РФ</w:t>
      </w:r>
      <w:bookmarkEnd w:id="11"/>
      <w:r w:rsidR="00CF170A">
        <w:rPr>
          <w:rFonts w:eastAsiaTheme="minorHAnsi"/>
          <w:b/>
          <w:color w:val="auto"/>
          <w:lang w:eastAsia="en-US"/>
        </w:rPr>
        <w:t xml:space="preserve"> </w:t>
      </w:r>
    </w:p>
    <w:tbl>
      <w:tblPr>
        <w:tblW w:w="9590" w:type="dxa"/>
        <w:jc w:val="center"/>
        <w:tblLook w:val="04A0" w:firstRow="1" w:lastRow="0" w:firstColumn="1" w:lastColumn="0" w:noHBand="0" w:noVBand="1"/>
      </w:tblPr>
      <w:tblGrid>
        <w:gridCol w:w="2534"/>
        <w:gridCol w:w="915"/>
        <w:gridCol w:w="3376"/>
        <w:gridCol w:w="2765"/>
      </w:tblGrid>
      <w:tr w:rsidR="00666D7E" w:rsidRPr="00940470" w14:paraId="71B4F69E" w14:textId="77777777" w:rsidTr="00424CF3">
        <w:trPr>
          <w:trHeight w:val="317"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ADBA" w14:textId="77777777" w:rsidR="00666D7E" w:rsidRPr="0014066C" w:rsidRDefault="00666D7E" w:rsidP="0066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приборов учета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9507" w14:textId="77777777" w:rsidR="00666D7E" w:rsidRPr="0014066C" w:rsidRDefault="00666D7E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Кол-во, </w:t>
            </w:r>
            <w:proofErr w:type="spellStart"/>
            <w:r w:rsidRPr="0014066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334B" w14:textId="77777777" w:rsidR="00666D7E" w:rsidRPr="0014066C" w:rsidRDefault="00666D7E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потребители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48090" w14:textId="77777777" w:rsidR="00666D7E" w:rsidRPr="0014066C" w:rsidRDefault="00666D7E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адрес</w:t>
            </w:r>
          </w:p>
        </w:tc>
      </w:tr>
      <w:tr w:rsidR="00A03F6B" w:rsidRPr="00940470" w14:paraId="262C5380" w14:textId="77777777" w:rsidTr="00424CF3">
        <w:trPr>
          <w:trHeight w:val="369"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FF9D" w14:textId="3226F2EF" w:rsidR="00A03F6B" w:rsidRPr="0014066C" w:rsidRDefault="00A03F6B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Прибор учета трехфазный трансформаторного включения по току и непосредственного по напряжению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20BF962" w14:textId="2AFEEBC4" w:rsidR="00A03F6B" w:rsidRPr="0014066C" w:rsidRDefault="00A03F6B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0F0F" w14:textId="407D96DD" w:rsidR="00A03F6B" w:rsidRPr="0014066C" w:rsidRDefault="00A03F6B" w:rsidP="0014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шт. – объекты ООО «Газпром газомоторное топливо»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547297" w14:textId="77777777" w:rsidR="00A03F6B" w:rsidRPr="0014066C" w:rsidRDefault="00A03F6B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Тульская область </w:t>
            </w:r>
          </w:p>
          <w:p w14:paraId="0FA7747B" w14:textId="4D7144F3" w:rsidR="00A03F6B" w:rsidRPr="0014066C" w:rsidRDefault="00A03F6B" w:rsidP="0014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Новомосковск, шоссе </w:t>
            </w:r>
            <w:proofErr w:type="spellStart"/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Узловское</w:t>
            </w:r>
            <w:proofErr w:type="spellEnd"/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6</w:t>
            </w:r>
          </w:p>
        </w:tc>
      </w:tr>
      <w:tr w:rsidR="00A03F6B" w:rsidRPr="00940470" w14:paraId="16EE443A" w14:textId="77777777" w:rsidTr="00424CF3">
        <w:trPr>
          <w:trHeight w:val="569"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0D8D" w14:textId="77777777" w:rsidR="00A03F6B" w:rsidRPr="00940470" w:rsidRDefault="00A03F6B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F0889A" w14:textId="77777777" w:rsidR="00A03F6B" w:rsidRPr="00940470" w:rsidRDefault="00A03F6B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EB06" w14:textId="77777777" w:rsidR="00A03F6B" w:rsidRPr="0014066C" w:rsidRDefault="00A03F6B" w:rsidP="0014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шт. – объекты</w:t>
            </w:r>
          </w:p>
          <w:p w14:paraId="6829D4D9" w14:textId="1399FAAE" w:rsidR="00A03F6B" w:rsidRPr="0014066C" w:rsidRDefault="00A03F6B" w:rsidP="0014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Щекинострой</w:t>
            </w:r>
            <w:proofErr w:type="spellEnd"/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78A4F" w14:textId="77777777" w:rsidR="00A03F6B" w:rsidRPr="0014066C" w:rsidRDefault="00A03F6B" w:rsidP="0029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Тульская область</w:t>
            </w:r>
          </w:p>
          <w:p w14:paraId="7B9ED214" w14:textId="0CA35FC0" w:rsidR="00A03F6B" w:rsidRPr="0014066C" w:rsidRDefault="00A03F6B" w:rsidP="007E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Щёкинский</w:t>
            </w:r>
            <w:proofErr w:type="spellEnd"/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район, рабочий поселок Первомайский, деревня Воробьёвка, территория ООО «</w:t>
            </w:r>
            <w:proofErr w:type="spellStart"/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Щекинострой</w:t>
            </w:r>
            <w:proofErr w:type="spellEnd"/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</w:p>
        </w:tc>
      </w:tr>
      <w:tr w:rsidR="00A03F6B" w:rsidRPr="00940470" w14:paraId="2CF3B3CA" w14:textId="77777777" w:rsidTr="00424CF3">
        <w:trPr>
          <w:trHeight w:val="134"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1B65" w14:textId="77777777" w:rsidR="00A03F6B" w:rsidRPr="00940470" w:rsidRDefault="00A03F6B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73BF9E" w14:textId="77777777" w:rsidR="00A03F6B" w:rsidRPr="00940470" w:rsidRDefault="00A03F6B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E6A5" w14:textId="48694DF3" w:rsidR="00A03F6B" w:rsidRPr="0014066C" w:rsidRDefault="00A03F6B" w:rsidP="00140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шт. – объекты ООО «Шар»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EFE0B" w14:textId="77777777" w:rsidR="00A03F6B" w:rsidRPr="0014066C" w:rsidRDefault="00A03F6B" w:rsidP="0065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Тульская область </w:t>
            </w:r>
          </w:p>
          <w:p w14:paraId="70DB6D0E" w14:textId="3DC6C011" w:rsidR="00A03F6B" w:rsidRPr="0014066C" w:rsidRDefault="00A03F6B" w:rsidP="007E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Щёкинский</w:t>
            </w:r>
            <w:proofErr w:type="spellEnd"/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район, рабочий поселок Первомайский, Административная ул., 20</w:t>
            </w:r>
          </w:p>
        </w:tc>
      </w:tr>
      <w:tr w:rsidR="00A03F6B" w:rsidRPr="00940470" w14:paraId="75C7F5D7" w14:textId="77777777" w:rsidTr="00944084">
        <w:trPr>
          <w:trHeight w:val="168"/>
          <w:jc w:val="center"/>
        </w:trPr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100C" w14:textId="77777777" w:rsidR="00A03F6B" w:rsidRPr="00940470" w:rsidRDefault="00A03F6B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50A9" w14:textId="77777777" w:rsidR="00A03F6B" w:rsidRPr="00940470" w:rsidRDefault="00A03F6B" w:rsidP="00CA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C6B2" w14:textId="764AE5C4" w:rsidR="00A03F6B" w:rsidRPr="00940470" w:rsidRDefault="00A03F6B" w:rsidP="00E6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шт. – объекты ООО «Газпром газомоторное топливо»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06D03" w14:textId="06F94629" w:rsidR="00A03F6B" w:rsidRPr="00A50BCF" w:rsidRDefault="00A03F6B" w:rsidP="0029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0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Тульская область,  </w:t>
            </w:r>
          </w:p>
          <w:p w14:paraId="1540E618" w14:textId="3E367772" w:rsidR="00A03F6B" w:rsidRPr="00940470" w:rsidRDefault="00A03F6B" w:rsidP="00A50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50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посёлок Петровский, территория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50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«Газпром газомоторное топливо»</w:t>
            </w:r>
          </w:p>
        </w:tc>
      </w:tr>
      <w:tr w:rsidR="00944084" w:rsidRPr="00940470" w14:paraId="4E0FD058" w14:textId="77777777" w:rsidTr="00944084">
        <w:trPr>
          <w:trHeight w:val="72"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3A03" w14:textId="4BF0F8D4" w:rsidR="00944084" w:rsidRPr="00940470" w:rsidRDefault="00944084" w:rsidP="00C6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247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Прибор учета трехфазный непосредственного включения по току и напряжению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7123" w14:textId="03A6E78A" w:rsidR="00944084" w:rsidRPr="003C471F" w:rsidRDefault="00944084" w:rsidP="00C6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22DC" w14:textId="7C027975" w:rsidR="00944084" w:rsidRPr="003C471F" w:rsidRDefault="00944084" w:rsidP="00C6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шт. - ИП Геворкян </w:t>
            </w:r>
          </w:p>
          <w:p w14:paraId="1C590EEA" w14:textId="77777777" w:rsidR="00944084" w:rsidRPr="003C471F" w:rsidRDefault="00944084" w:rsidP="00C67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DFB4E" w14:textId="05FA6549" w:rsidR="00944084" w:rsidRPr="003C471F" w:rsidRDefault="00944084" w:rsidP="00C6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Тульская область, </w:t>
            </w:r>
          </w:p>
          <w:p w14:paraId="0ABEA014" w14:textId="36A9C44A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Новомосковск, в районе шоссе </w:t>
            </w:r>
            <w:proofErr w:type="spellStart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Узловское</w:t>
            </w:r>
            <w:proofErr w:type="spellEnd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6</w:t>
            </w:r>
          </w:p>
        </w:tc>
      </w:tr>
      <w:tr w:rsidR="00944084" w:rsidRPr="00940470" w14:paraId="28B6F802" w14:textId="77777777" w:rsidTr="00944084">
        <w:trPr>
          <w:trHeight w:val="72"/>
          <w:jc w:val="center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98D5" w14:textId="77777777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0D8D" w14:textId="77777777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1119" w14:textId="585E9D0A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шт. - ГСК-23 </w:t>
            </w:r>
          </w:p>
          <w:p w14:paraId="6A30C2D2" w14:textId="057752BF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C6E90" w14:textId="77777777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Тульская область, </w:t>
            </w:r>
          </w:p>
          <w:p w14:paraId="2F2139E6" w14:textId="017A4416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Новомосковск, в районе шоссе </w:t>
            </w:r>
            <w:proofErr w:type="spellStart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Узловское</w:t>
            </w:r>
            <w:proofErr w:type="spellEnd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6</w:t>
            </w:r>
          </w:p>
        </w:tc>
      </w:tr>
      <w:tr w:rsidR="00944084" w:rsidRPr="00940470" w14:paraId="3FB0ED32" w14:textId="77777777" w:rsidTr="00944084">
        <w:trPr>
          <w:trHeight w:val="72"/>
          <w:jc w:val="center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53B32" w14:textId="77777777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B82A" w14:textId="77777777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0A28" w14:textId="04ED3E7C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шт. - КСТ Березка</w:t>
            </w:r>
          </w:p>
          <w:p w14:paraId="26C21CA5" w14:textId="69ACA60C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BC21E1" w14:textId="77777777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Тульская область, </w:t>
            </w:r>
          </w:p>
          <w:p w14:paraId="59CD9A9A" w14:textId="726CA401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Новомосковск, в районе шоссе </w:t>
            </w:r>
            <w:proofErr w:type="spellStart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Узловское</w:t>
            </w:r>
            <w:proofErr w:type="spellEnd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6</w:t>
            </w:r>
          </w:p>
        </w:tc>
      </w:tr>
      <w:tr w:rsidR="00944084" w:rsidRPr="00940470" w14:paraId="27727273" w14:textId="77777777" w:rsidTr="00944084">
        <w:trPr>
          <w:trHeight w:val="72"/>
          <w:jc w:val="center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7C8C" w14:textId="77777777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B11E" w14:textId="77777777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472C" w14:textId="26EC4457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шт. - ИП </w:t>
            </w:r>
            <w:proofErr w:type="spellStart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Ткебучава</w:t>
            </w:r>
            <w:proofErr w:type="spellEnd"/>
          </w:p>
          <w:p w14:paraId="707DB6D2" w14:textId="03E25E46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633FE" w14:textId="77777777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Тульская область, </w:t>
            </w:r>
          </w:p>
          <w:p w14:paraId="5D808B72" w14:textId="7615638C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Новомосковск, в районе шоссе </w:t>
            </w:r>
            <w:proofErr w:type="spellStart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Узловское</w:t>
            </w:r>
            <w:proofErr w:type="spellEnd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6</w:t>
            </w:r>
          </w:p>
        </w:tc>
      </w:tr>
      <w:tr w:rsidR="00944084" w:rsidRPr="00940470" w14:paraId="65344300" w14:textId="77777777" w:rsidTr="00944084">
        <w:trPr>
          <w:trHeight w:val="72"/>
          <w:jc w:val="center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7E0A" w14:textId="77777777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44C9" w14:textId="77777777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5D02" w14:textId="64957BEF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шт. - </w:t>
            </w: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ООО «Газпром газомоторное топливо»</w:t>
            </w:r>
          </w:p>
          <w:p w14:paraId="25D0B64D" w14:textId="7274D864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371DC" w14:textId="77777777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Тульская область, </w:t>
            </w:r>
          </w:p>
          <w:p w14:paraId="71765F55" w14:textId="1613CC7B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Новомосковск, в районе шоссе </w:t>
            </w:r>
            <w:proofErr w:type="spellStart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Узловское</w:t>
            </w:r>
            <w:proofErr w:type="spellEnd"/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6</w:t>
            </w:r>
          </w:p>
        </w:tc>
      </w:tr>
      <w:tr w:rsidR="00944084" w:rsidRPr="00940470" w14:paraId="140CC271" w14:textId="77777777" w:rsidTr="00944084">
        <w:trPr>
          <w:trHeight w:val="72"/>
          <w:jc w:val="center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5269" w14:textId="77777777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3FD6" w14:textId="77777777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4521" w14:textId="0589186A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шт. - </w:t>
            </w:r>
            <w:r w:rsidRPr="001406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объекты </w:t>
            </w: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ПАО "МТС"</w:t>
            </w:r>
          </w:p>
          <w:p w14:paraId="4CBEEFB3" w14:textId="75AB25D5" w:rsidR="00944084" w:rsidRPr="00940470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F86D4" w14:textId="77777777" w:rsidR="00944084" w:rsidRPr="003C471F" w:rsidRDefault="00944084" w:rsidP="003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Тульская область, </w:t>
            </w:r>
          </w:p>
          <w:p w14:paraId="59DD2622" w14:textId="7E8F579B" w:rsidR="00944084" w:rsidRPr="00940470" w:rsidRDefault="00944084" w:rsidP="0094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Ефремов</w:t>
            </w:r>
            <w:r w:rsidRPr="003C47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A50B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4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944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Газпром </w:t>
            </w:r>
            <w:proofErr w:type="spellStart"/>
            <w:r w:rsidRPr="00944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трансгаз</w:t>
            </w:r>
            <w:proofErr w:type="spellEnd"/>
            <w:r w:rsidRPr="00944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Москва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</w:tbl>
    <w:p w14:paraId="27F89420" w14:textId="77777777" w:rsidR="00A233D4" w:rsidRPr="00E6175D" w:rsidRDefault="00A233D4" w:rsidP="00837B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6575D8E" w14:textId="77777777" w:rsidR="00424CF3" w:rsidRDefault="00424CF3" w:rsidP="005F3684">
      <w:pPr>
        <w:pStyle w:val="Default"/>
        <w:jc w:val="center"/>
        <w:outlineLvl w:val="0"/>
        <w:rPr>
          <w:rFonts w:eastAsiaTheme="minorHAnsi"/>
          <w:b/>
          <w:color w:val="auto"/>
          <w:lang w:eastAsia="en-US"/>
        </w:rPr>
      </w:pPr>
    </w:p>
    <w:p w14:paraId="14494B16" w14:textId="77777777" w:rsidR="00CB6E37" w:rsidRDefault="00CB6E37" w:rsidP="008507E1">
      <w:pPr>
        <w:pStyle w:val="Default"/>
        <w:outlineLvl w:val="0"/>
        <w:rPr>
          <w:rFonts w:eastAsiaTheme="minorHAnsi"/>
          <w:b/>
          <w:color w:val="auto"/>
          <w:lang w:eastAsia="en-US"/>
        </w:rPr>
      </w:pPr>
    </w:p>
    <w:p w14:paraId="5AD236F9" w14:textId="77777777" w:rsidR="003B698E" w:rsidRPr="001F1473" w:rsidRDefault="003B698E" w:rsidP="005F3684">
      <w:pPr>
        <w:pStyle w:val="Default"/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12" w:name="_Toc164869836"/>
      <w:r w:rsidRPr="001F1473">
        <w:rPr>
          <w:rFonts w:eastAsiaTheme="minorHAnsi"/>
          <w:b/>
          <w:color w:val="auto"/>
          <w:lang w:eastAsia="en-US"/>
        </w:rPr>
        <w:t>Заключение</w:t>
      </w:r>
      <w:bookmarkEnd w:id="12"/>
    </w:p>
    <w:p w14:paraId="4D93E033" w14:textId="01FA472A" w:rsidR="002C092B" w:rsidRDefault="002C092B" w:rsidP="00424CF3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1F1473">
        <w:rPr>
          <w:rFonts w:eastAsiaTheme="minorHAnsi"/>
          <w:color w:val="auto"/>
          <w:lang w:eastAsia="en-US"/>
        </w:rPr>
        <w:t>Инвестиционные затраты ООО «Газпром энерго» на реализацию инвестиционных проектов по Тульской области в период 2022-2026 год не окупаются. Однако</w:t>
      </w:r>
      <w:r>
        <w:rPr>
          <w:rFonts w:eastAsiaTheme="minorHAnsi"/>
          <w:color w:val="auto"/>
          <w:lang w:eastAsia="en-US"/>
        </w:rPr>
        <w:t xml:space="preserve"> при реализации Инвестиционного проекта </w:t>
      </w:r>
      <w:r w:rsidRPr="001F1473">
        <w:t xml:space="preserve">«Интеллектуальная система учета электроэнергии Центрального филиала ООО "Газпром энерго" в Тульской области» </w:t>
      </w:r>
      <w:r w:rsidRPr="001F1473">
        <w:rPr>
          <w:rFonts w:eastAsiaTheme="minorHAnsi"/>
          <w:color w:val="auto"/>
          <w:lang w:eastAsia="en-US"/>
        </w:rPr>
        <w:t>дост</w:t>
      </w:r>
      <w:r w:rsidR="00BA4C64">
        <w:rPr>
          <w:rFonts w:eastAsiaTheme="minorHAnsi"/>
          <w:color w:val="auto"/>
          <w:lang w:eastAsia="en-US"/>
        </w:rPr>
        <w:t xml:space="preserve">игается основная цель </w:t>
      </w:r>
      <w:r w:rsidRPr="001F1473">
        <w:rPr>
          <w:rFonts w:eastAsiaTheme="minorHAnsi"/>
          <w:color w:val="auto"/>
          <w:lang w:eastAsia="en-US"/>
        </w:rPr>
        <w:t>-</w:t>
      </w:r>
      <w:r>
        <w:rPr>
          <w:rFonts w:eastAsiaTheme="minorHAnsi"/>
          <w:color w:val="auto"/>
          <w:lang w:eastAsia="en-US"/>
        </w:rPr>
        <w:t xml:space="preserve"> </w:t>
      </w:r>
      <w:r w:rsidRPr="001F1473">
        <w:rPr>
          <w:rFonts w:eastAsiaTheme="minorHAnsi"/>
          <w:color w:val="auto"/>
          <w:lang w:eastAsia="en-US"/>
        </w:rPr>
        <w:t xml:space="preserve">выполнение требований </w:t>
      </w:r>
      <w:r>
        <w:rPr>
          <w:rFonts w:eastAsiaTheme="minorHAnsi"/>
          <w:color w:val="auto"/>
          <w:lang w:eastAsia="en-US"/>
        </w:rPr>
        <w:t xml:space="preserve">действующего </w:t>
      </w:r>
      <w:r w:rsidRPr="001F1473">
        <w:rPr>
          <w:rFonts w:eastAsiaTheme="minorHAnsi"/>
          <w:color w:val="auto"/>
          <w:lang w:eastAsia="en-US"/>
        </w:rPr>
        <w:t xml:space="preserve">законодательства РФ (Федеральный закон от 26.03.2003 N 35-ФЗ «Об электроэнергетике», </w:t>
      </w:r>
      <w:r w:rsidRPr="001F1473">
        <w:t xml:space="preserve">Федеральный закон </w:t>
      </w:r>
      <w:r>
        <w:t>от 23.11.2009</w:t>
      </w:r>
      <w:r w:rsidRPr="001F1473">
        <w:t xml:space="preserve"> №261-ФЗ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</w:r>
      <w:r>
        <w:t>)</w:t>
      </w:r>
      <w:r w:rsidRPr="00426A8D">
        <w:rPr>
          <w:rFonts w:eastAsiaTheme="minorHAnsi"/>
          <w:color w:val="auto"/>
          <w:lang w:eastAsia="en-US"/>
        </w:rPr>
        <w:t>.</w:t>
      </w:r>
    </w:p>
    <w:p w14:paraId="3D0CD407" w14:textId="000F4378" w:rsidR="00424CF3" w:rsidRDefault="002C092B" w:rsidP="00424C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="00924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24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Полная стоимость инвестиционного проекта </w:t>
      </w:r>
      <w:r w:rsidR="009A7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r w:rsidR="00944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9A7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окальной сметой</w:t>
      </w:r>
      <w:r w:rsidR="00944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944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D2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="00CD2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коэффициентами </w:t>
      </w:r>
      <w:r w:rsidR="00CD2506" w:rsidRPr="008E2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дефляторами</w:t>
      </w:r>
      <w:r w:rsidR="00944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44084" w:rsidRPr="00924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составила</w:t>
      </w:r>
      <w:r w:rsidR="009A73C1" w:rsidRPr="008E2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40470" w:rsidRPr="009404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2,420205</w:t>
      </w:r>
      <w:r w:rsidR="00985D72" w:rsidRPr="008E24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8E24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млн.руб</w:t>
      </w:r>
      <w:proofErr w:type="spellEnd"/>
      <w:r w:rsidRPr="008E24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9A73C1" w:rsidRPr="008E24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r w:rsidRPr="008E24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НДС</w:t>
      </w:r>
      <w:r w:rsidRPr="008E2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ввод в эксплуатацию</w:t>
      </w:r>
      <w:r w:rsidR="00944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 на</w:t>
      </w:r>
      <w:r w:rsidRPr="008E2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940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8E2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  <w:r w:rsidR="00924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02EDFAB" w14:textId="77777777" w:rsidR="002C092B" w:rsidRPr="00985D72" w:rsidRDefault="00E00765" w:rsidP="00424CF3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ООО «Газпром </w:t>
      </w:r>
      <w:r w:rsidR="002C092B" w:rsidRPr="009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энерго» в лице Центрального филиала предусматривает финансирование инвестиционного проекта с</w:t>
      </w:r>
      <w:r w:rsidR="002C092B" w:rsidRPr="00CD2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</w:t>
      </w:r>
      <w:r w:rsidR="002C092B" w:rsidRPr="00924A93">
        <w:rPr>
          <w:rFonts w:ascii="Times New Roman" w:hAnsi="Times New Roman" w:cs="Times New Roman"/>
          <w:sz w:val="24"/>
          <w:szCs w:val="24"/>
        </w:rPr>
        <w:t xml:space="preserve"> инвестиционных ресурсов, учитываемых при установлении тарифов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(тарифов).</w:t>
      </w:r>
    </w:p>
    <w:p w14:paraId="114775C5" w14:textId="77777777" w:rsidR="00240ED2" w:rsidRDefault="00240ED2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14:paraId="7D7DC773" w14:textId="77777777" w:rsidR="00424CF3" w:rsidRDefault="00424CF3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61"/>
      </w:tblGrid>
      <w:tr w:rsidR="003E20E3" w14:paraId="40A85DA5" w14:textId="77777777" w:rsidTr="00333A29">
        <w:tc>
          <w:tcPr>
            <w:tcW w:w="1951" w:type="dxa"/>
          </w:tcPr>
          <w:p w14:paraId="5D599284" w14:textId="77777777" w:rsidR="003E20E3" w:rsidRPr="00333A29" w:rsidRDefault="003E20E3" w:rsidP="005F3684">
            <w:pPr>
              <w:pStyle w:val="Default"/>
              <w:jc w:val="both"/>
              <w:rPr>
                <w:rFonts w:eastAsiaTheme="minorHAnsi"/>
                <w:b/>
                <w:color w:val="auto"/>
                <w:lang w:eastAsia="en-US"/>
              </w:rPr>
            </w:pPr>
            <w:r w:rsidRPr="00333A29">
              <w:rPr>
                <w:rFonts w:eastAsiaTheme="minorHAnsi"/>
                <w:b/>
                <w:color w:val="auto"/>
                <w:lang w:eastAsia="en-US"/>
              </w:rPr>
              <w:t>Приложение:</w:t>
            </w:r>
          </w:p>
        </w:tc>
        <w:tc>
          <w:tcPr>
            <w:tcW w:w="7761" w:type="dxa"/>
          </w:tcPr>
          <w:p w14:paraId="2C6A69FB" w14:textId="43B69692" w:rsidR="00870B4F" w:rsidRDefault="00870B4F" w:rsidP="003E20E3">
            <w:pPr>
              <w:pStyle w:val="Default"/>
              <w:numPr>
                <w:ilvl w:val="0"/>
                <w:numId w:val="12"/>
              </w:numPr>
              <w:jc w:val="both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lang w:eastAsia="en-US"/>
              </w:rPr>
              <w:t xml:space="preserve">Сметный расчет </w:t>
            </w:r>
            <w:r w:rsidR="002700FE">
              <w:rPr>
                <w:rFonts w:eastAsiaTheme="minorHAnsi"/>
                <w:color w:val="auto"/>
                <w:lang w:eastAsia="en-US"/>
              </w:rPr>
              <w:t>в УНЦ – в 1-ом файле.</w:t>
            </w:r>
          </w:p>
          <w:p w14:paraId="4EBB2D6A" w14:textId="58554488" w:rsidR="00940470" w:rsidRDefault="00940470" w:rsidP="00940470">
            <w:pPr>
              <w:pStyle w:val="Default"/>
              <w:numPr>
                <w:ilvl w:val="0"/>
                <w:numId w:val="12"/>
              </w:numPr>
              <w:jc w:val="both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lang w:eastAsia="en-US"/>
              </w:rPr>
              <w:t>Локальная ресурсная смета – в 1-ом файле.</w:t>
            </w:r>
          </w:p>
          <w:p w14:paraId="09709F9F" w14:textId="77777777" w:rsidR="003E20E3" w:rsidRDefault="003E20E3" w:rsidP="00870B4F">
            <w:pPr>
              <w:pStyle w:val="Default"/>
              <w:ind w:left="720"/>
              <w:jc w:val="both"/>
              <w:rPr>
                <w:rFonts w:eastAsiaTheme="minorHAnsi"/>
                <w:color w:val="auto"/>
                <w:lang w:eastAsia="en-US"/>
              </w:rPr>
            </w:pPr>
          </w:p>
        </w:tc>
      </w:tr>
    </w:tbl>
    <w:p w14:paraId="161D5657" w14:textId="77777777" w:rsidR="002B773D" w:rsidRDefault="002B773D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14:paraId="7E860172" w14:textId="77777777" w:rsidR="00424CF3" w:rsidRDefault="00424CF3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14:paraId="5A8C8A0B" w14:textId="217ABDAB" w:rsidR="002B773D" w:rsidRPr="00333A29" w:rsidRDefault="008E4304" w:rsidP="005F3684">
      <w:pPr>
        <w:pStyle w:val="Default"/>
        <w:jc w:val="both"/>
        <w:rPr>
          <w:rFonts w:eastAsiaTheme="minorHAnsi"/>
          <w:b/>
          <w:color w:val="auto"/>
          <w:lang w:eastAsia="en-US"/>
        </w:rPr>
      </w:pPr>
      <w:r>
        <w:rPr>
          <w:rFonts w:eastAsiaTheme="minorHAnsi"/>
          <w:b/>
          <w:color w:val="auto"/>
          <w:lang w:eastAsia="en-US"/>
        </w:rPr>
        <w:t xml:space="preserve">Директор филиала 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</w:t>
      </w:r>
      <w:r>
        <w:rPr>
          <w:rFonts w:eastAsiaTheme="minorHAnsi"/>
          <w:b/>
          <w:color w:val="auto"/>
          <w:lang w:eastAsia="en-US"/>
        </w:rPr>
        <w:t xml:space="preserve">               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                             </w:t>
      </w:r>
      <w:r w:rsidR="00333A29">
        <w:rPr>
          <w:rFonts w:eastAsiaTheme="minorHAnsi"/>
          <w:b/>
          <w:color w:val="auto"/>
          <w:lang w:eastAsia="en-US"/>
        </w:rPr>
        <w:t xml:space="preserve">                                      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        </w:t>
      </w:r>
      <w:r>
        <w:rPr>
          <w:rFonts w:eastAsiaTheme="minorHAnsi"/>
          <w:b/>
          <w:color w:val="auto"/>
          <w:lang w:eastAsia="en-US"/>
        </w:rPr>
        <w:t>В.В. Острик</w:t>
      </w:r>
    </w:p>
    <w:sectPr w:rsidR="002B773D" w:rsidRPr="00333A29" w:rsidSect="00740F6C"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CCC118" w14:textId="77777777" w:rsidR="00247EE1" w:rsidRDefault="00247EE1" w:rsidP="00FA6E48">
      <w:pPr>
        <w:spacing w:after="0" w:line="240" w:lineRule="auto"/>
      </w:pPr>
      <w:r>
        <w:separator/>
      </w:r>
    </w:p>
  </w:endnote>
  <w:endnote w:type="continuationSeparator" w:id="0">
    <w:p w14:paraId="02DB4E8F" w14:textId="77777777" w:rsidR="00247EE1" w:rsidRDefault="00247EE1" w:rsidP="00FA6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302528"/>
      <w:docPartObj>
        <w:docPartGallery w:val="Page Numbers (Bottom of Page)"/>
        <w:docPartUnique/>
      </w:docPartObj>
    </w:sdtPr>
    <w:sdtEndPr/>
    <w:sdtContent>
      <w:p w14:paraId="25627BF7" w14:textId="40C86B41" w:rsidR="00247EE1" w:rsidRDefault="00247EE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011">
          <w:rPr>
            <w:noProof/>
          </w:rPr>
          <w:t>11</w:t>
        </w:r>
        <w:r>
          <w:fldChar w:fldCharType="end"/>
        </w:r>
      </w:p>
    </w:sdtContent>
  </w:sdt>
  <w:p w14:paraId="4E3A8AB2" w14:textId="77777777" w:rsidR="00247EE1" w:rsidRDefault="00247EE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E2399" w14:textId="77777777" w:rsidR="00247EE1" w:rsidRDefault="00247EE1" w:rsidP="00FA6E48">
      <w:pPr>
        <w:spacing w:after="0" w:line="240" w:lineRule="auto"/>
      </w:pPr>
      <w:r>
        <w:separator/>
      </w:r>
    </w:p>
  </w:footnote>
  <w:footnote w:type="continuationSeparator" w:id="0">
    <w:p w14:paraId="2EA47E5F" w14:textId="77777777" w:rsidR="00247EE1" w:rsidRDefault="00247EE1" w:rsidP="00FA6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C74CF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A75D8"/>
    <w:multiLevelType w:val="hybridMultilevel"/>
    <w:tmpl w:val="A44A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D253A"/>
    <w:multiLevelType w:val="multilevel"/>
    <w:tmpl w:val="CD94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369"/>
    <w:multiLevelType w:val="multilevel"/>
    <w:tmpl w:val="85A69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6030DA1"/>
    <w:multiLevelType w:val="hybridMultilevel"/>
    <w:tmpl w:val="6804D48E"/>
    <w:lvl w:ilvl="0" w:tplc="E968F3EC">
      <w:start w:val="6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28C122F0"/>
    <w:multiLevelType w:val="hybridMultilevel"/>
    <w:tmpl w:val="F13419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A1C13"/>
    <w:multiLevelType w:val="multilevel"/>
    <w:tmpl w:val="9B1032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361" w:hanging="6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71649B7"/>
    <w:multiLevelType w:val="hybridMultilevel"/>
    <w:tmpl w:val="A894DF60"/>
    <w:lvl w:ilvl="0" w:tplc="DCBCCC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6622DC"/>
    <w:multiLevelType w:val="multilevel"/>
    <w:tmpl w:val="85A69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B00624E"/>
    <w:multiLevelType w:val="hybridMultilevel"/>
    <w:tmpl w:val="A3B27502"/>
    <w:lvl w:ilvl="0" w:tplc="318296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B2A08"/>
    <w:multiLevelType w:val="multilevel"/>
    <w:tmpl w:val="A774BF9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2160"/>
      </w:pPr>
      <w:rPr>
        <w:rFonts w:hint="default"/>
      </w:rPr>
    </w:lvl>
  </w:abstractNum>
  <w:abstractNum w:abstractNumId="11" w15:restartNumberingAfterBreak="0">
    <w:nsid w:val="6A10463E"/>
    <w:multiLevelType w:val="hybridMultilevel"/>
    <w:tmpl w:val="F4E21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76B75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D9662F"/>
    <w:multiLevelType w:val="hybridMultilevel"/>
    <w:tmpl w:val="E726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10352"/>
    <w:multiLevelType w:val="hybridMultilevel"/>
    <w:tmpl w:val="426204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9"/>
  </w:num>
  <w:num w:numId="5">
    <w:abstractNumId w:val="0"/>
  </w:num>
  <w:num w:numId="6">
    <w:abstractNumId w:val="3"/>
  </w:num>
  <w:num w:numId="7">
    <w:abstractNumId w:val="5"/>
  </w:num>
  <w:num w:numId="8">
    <w:abstractNumId w:val="12"/>
  </w:num>
  <w:num w:numId="9">
    <w:abstractNumId w:val="2"/>
  </w:num>
  <w:num w:numId="10">
    <w:abstractNumId w:val="10"/>
  </w:num>
  <w:num w:numId="11">
    <w:abstractNumId w:val="6"/>
  </w:num>
  <w:num w:numId="12">
    <w:abstractNumId w:val="1"/>
  </w:num>
  <w:num w:numId="13">
    <w:abstractNumId w:val="8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C6"/>
    <w:rsid w:val="00000D2A"/>
    <w:rsid w:val="0003002F"/>
    <w:rsid w:val="000334C2"/>
    <w:rsid w:val="000516AA"/>
    <w:rsid w:val="00052897"/>
    <w:rsid w:val="00056285"/>
    <w:rsid w:val="00085736"/>
    <w:rsid w:val="000A4267"/>
    <w:rsid w:val="000B1C6A"/>
    <w:rsid w:val="000C0412"/>
    <w:rsid w:val="000C08B4"/>
    <w:rsid w:val="000C2673"/>
    <w:rsid w:val="000D191F"/>
    <w:rsid w:val="000D269D"/>
    <w:rsid w:val="000D3AAA"/>
    <w:rsid w:val="000D3E89"/>
    <w:rsid w:val="000D577B"/>
    <w:rsid w:val="000F17F3"/>
    <w:rsid w:val="000F28F8"/>
    <w:rsid w:val="00113655"/>
    <w:rsid w:val="0013058A"/>
    <w:rsid w:val="0014066C"/>
    <w:rsid w:val="00142F8C"/>
    <w:rsid w:val="0015533F"/>
    <w:rsid w:val="00161165"/>
    <w:rsid w:val="0016125E"/>
    <w:rsid w:val="0018127B"/>
    <w:rsid w:val="001839F0"/>
    <w:rsid w:val="00192857"/>
    <w:rsid w:val="001A1D29"/>
    <w:rsid w:val="001B645A"/>
    <w:rsid w:val="001C146E"/>
    <w:rsid w:val="001D3D8E"/>
    <w:rsid w:val="001F1473"/>
    <w:rsid w:val="00214B9B"/>
    <w:rsid w:val="00221914"/>
    <w:rsid w:val="00221A87"/>
    <w:rsid w:val="00225119"/>
    <w:rsid w:val="00227532"/>
    <w:rsid w:val="0023399D"/>
    <w:rsid w:val="00234B8A"/>
    <w:rsid w:val="00240ED2"/>
    <w:rsid w:val="00243662"/>
    <w:rsid w:val="0024504F"/>
    <w:rsid w:val="00247EE1"/>
    <w:rsid w:val="00261E67"/>
    <w:rsid w:val="002700FE"/>
    <w:rsid w:val="00273225"/>
    <w:rsid w:val="00273E3A"/>
    <w:rsid w:val="00282A48"/>
    <w:rsid w:val="00282C6E"/>
    <w:rsid w:val="002864C6"/>
    <w:rsid w:val="002957BF"/>
    <w:rsid w:val="002A1AE9"/>
    <w:rsid w:val="002B4EB6"/>
    <w:rsid w:val="002B773D"/>
    <w:rsid w:val="002C092B"/>
    <w:rsid w:val="002D3ED9"/>
    <w:rsid w:val="002F6F41"/>
    <w:rsid w:val="00300711"/>
    <w:rsid w:val="00303F2E"/>
    <w:rsid w:val="003118DD"/>
    <w:rsid w:val="00320F65"/>
    <w:rsid w:val="0032546A"/>
    <w:rsid w:val="00330663"/>
    <w:rsid w:val="00333A29"/>
    <w:rsid w:val="00344811"/>
    <w:rsid w:val="003504E9"/>
    <w:rsid w:val="00354D25"/>
    <w:rsid w:val="00356EBB"/>
    <w:rsid w:val="003902FD"/>
    <w:rsid w:val="003933A7"/>
    <w:rsid w:val="003B0B81"/>
    <w:rsid w:val="003B698E"/>
    <w:rsid w:val="003C092D"/>
    <w:rsid w:val="003C471F"/>
    <w:rsid w:val="003C584D"/>
    <w:rsid w:val="003D26FE"/>
    <w:rsid w:val="003D447B"/>
    <w:rsid w:val="003D6608"/>
    <w:rsid w:val="003E20E3"/>
    <w:rsid w:val="00402DA3"/>
    <w:rsid w:val="004042C7"/>
    <w:rsid w:val="0040611A"/>
    <w:rsid w:val="0042015D"/>
    <w:rsid w:val="00424CF3"/>
    <w:rsid w:val="004425E7"/>
    <w:rsid w:val="004467C5"/>
    <w:rsid w:val="00454853"/>
    <w:rsid w:val="004648AD"/>
    <w:rsid w:val="004802A5"/>
    <w:rsid w:val="00483C9B"/>
    <w:rsid w:val="004865BB"/>
    <w:rsid w:val="004868B3"/>
    <w:rsid w:val="0049298E"/>
    <w:rsid w:val="00492BBE"/>
    <w:rsid w:val="00496E47"/>
    <w:rsid w:val="0049727B"/>
    <w:rsid w:val="004A197A"/>
    <w:rsid w:val="004A1A80"/>
    <w:rsid w:val="004C54A7"/>
    <w:rsid w:val="004F05E8"/>
    <w:rsid w:val="004F4759"/>
    <w:rsid w:val="0051047B"/>
    <w:rsid w:val="00550D07"/>
    <w:rsid w:val="0055408D"/>
    <w:rsid w:val="00554E7F"/>
    <w:rsid w:val="0056292D"/>
    <w:rsid w:val="00562F78"/>
    <w:rsid w:val="00571149"/>
    <w:rsid w:val="00583B11"/>
    <w:rsid w:val="00585B0C"/>
    <w:rsid w:val="00590679"/>
    <w:rsid w:val="00591ACC"/>
    <w:rsid w:val="00597807"/>
    <w:rsid w:val="005A2A50"/>
    <w:rsid w:val="005B2D2F"/>
    <w:rsid w:val="005B69AD"/>
    <w:rsid w:val="005C4961"/>
    <w:rsid w:val="005F289B"/>
    <w:rsid w:val="005F3684"/>
    <w:rsid w:val="005F3E47"/>
    <w:rsid w:val="006045FE"/>
    <w:rsid w:val="00630FC1"/>
    <w:rsid w:val="00635979"/>
    <w:rsid w:val="00636832"/>
    <w:rsid w:val="00655CC3"/>
    <w:rsid w:val="006608B4"/>
    <w:rsid w:val="00663753"/>
    <w:rsid w:val="00666D7E"/>
    <w:rsid w:val="00683CD6"/>
    <w:rsid w:val="00690A89"/>
    <w:rsid w:val="00690FFA"/>
    <w:rsid w:val="006A3F8B"/>
    <w:rsid w:val="006C02AD"/>
    <w:rsid w:val="006C4B54"/>
    <w:rsid w:val="006C762E"/>
    <w:rsid w:val="006D04BC"/>
    <w:rsid w:val="006D2168"/>
    <w:rsid w:val="006E2BF8"/>
    <w:rsid w:val="006E4E7A"/>
    <w:rsid w:val="00706887"/>
    <w:rsid w:val="00713BB6"/>
    <w:rsid w:val="00714DC0"/>
    <w:rsid w:val="007279F8"/>
    <w:rsid w:val="0073292C"/>
    <w:rsid w:val="00737411"/>
    <w:rsid w:val="00740F6C"/>
    <w:rsid w:val="007646CC"/>
    <w:rsid w:val="00796AE3"/>
    <w:rsid w:val="007A6CE0"/>
    <w:rsid w:val="007B4DFB"/>
    <w:rsid w:val="007D7CD6"/>
    <w:rsid w:val="007E0903"/>
    <w:rsid w:val="007E4E00"/>
    <w:rsid w:val="00806310"/>
    <w:rsid w:val="00806AC8"/>
    <w:rsid w:val="00812F91"/>
    <w:rsid w:val="00816CC4"/>
    <w:rsid w:val="00823F9D"/>
    <w:rsid w:val="00826B8C"/>
    <w:rsid w:val="00837B10"/>
    <w:rsid w:val="0084242E"/>
    <w:rsid w:val="008466E5"/>
    <w:rsid w:val="008507E1"/>
    <w:rsid w:val="00850944"/>
    <w:rsid w:val="00851B3D"/>
    <w:rsid w:val="0085651F"/>
    <w:rsid w:val="00867BD8"/>
    <w:rsid w:val="00867BE5"/>
    <w:rsid w:val="00870B4F"/>
    <w:rsid w:val="00872127"/>
    <w:rsid w:val="0087492B"/>
    <w:rsid w:val="00895BE8"/>
    <w:rsid w:val="008C7AF8"/>
    <w:rsid w:val="008D49F3"/>
    <w:rsid w:val="008D6D87"/>
    <w:rsid w:val="008E2457"/>
    <w:rsid w:val="008E4304"/>
    <w:rsid w:val="008E76D5"/>
    <w:rsid w:val="00924A93"/>
    <w:rsid w:val="009331BF"/>
    <w:rsid w:val="00940470"/>
    <w:rsid w:val="00944084"/>
    <w:rsid w:val="009464DE"/>
    <w:rsid w:val="0095091E"/>
    <w:rsid w:val="009515EE"/>
    <w:rsid w:val="00951772"/>
    <w:rsid w:val="00956B0C"/>
    <w:rsid w:val="00962FB2"/>
    <w:rsid w:val="009644EA"/>
    <w:rsid w:val="00971A09"/>
    <w:rsid w:val="00985D72"/>
    <w:rsid w:val="00986C3E"/>
    <w:rsid w:val="009A05B1"/>
    <w:rsid w:val="009A23EE"/>
    <w:rsid w:val="009A4AA0"/>
    <w:rsid w:val="009A73C1"/>
    <w:rsid w:val="009A7F5C"/>
    <w:rsid w:val="009C0C19"/>
    <w:rsid w:val="009C7011"/>
    <w:rsid w:val="009E0710"/>
    <w:rsid w:val="009F170A"/>
    <w:rsid w:val="00A03F6B"/>
    <w:rsid w:val="00A05655"/>
    <w:rsid w:val="00A10934"/>
    <w:rsid w:val="00A13F5B"/>
    <w:rsid w:val="00A233D4"/>
    <w:rsid w:val="00A3548E"/>
    <w:rsid w:val="00A366A6"/>
    <w:rsid w:val="00A406A4"/>
    <w:rsid w:val="00A50BCF"/>
    <w:rsid w:val="00A5796B"/>
    <w:rsid w:val="00A6526C"/>
    <w:rsid w:val="00A74E82"/>
    <w:rsid w:val="00A7685A"/>
    <w:rsid w:val="00A85EDB"/>
    <w:rsid w:val="00A8715B"/>
    <w:rsid w:val="00AA3B92"/>
    <w:rsid w:val="00AC32D9"/>
    <w:rsid w:val="00AC44AC"/>
    <w:rsid w:val="00AC7323"/>
    <w:rsid w:val="00AC79F2"/>
    <w:rsid w:val="00AD259B"/>
    <w:rsid w:val="00B1779A"/>
    <w:rsid w:val="00B20D35"/>
    <w:rsid w:val="00B2145A"/>
    <w:rsid w:val="00B22E16"/>
    <w:rsid w:val="00B25E2A"/>
    <w:rsid w:val="00B274F6"/>
    <w:rsid w:val="00B27EB4"/>
    <w:rsid w:val="00B40A10"/>
    <w:rsid w:val="00B4783E"/>
    <w:rsid w:val="00B60475"/>
    <w:rsid w:val="00B7321C"/>
    <w:rsid w:val="00B95609"/>
    <w:rsid w:val="00BA154C"/>
    <w:rsid w:val="00BA4C64"/>
    <w:rsid w:val="00BB1B5E"/>
    <w:rsid w:val="00BC4DA0"/>
    <w:rsid w:val="00BC7B93"/>
    <w:rsid w:val="00BD3C44"/>
    <w:rsid w:val="00BF3A59"/>
    <w:rsid w:val="00C01EAE"/>
    <w:rsid w:val="00C1073A"/>
    <w:rsid w:val="00C4737A"/>
    <w:rsid w:val="00C6228F"/>
    <w:rsid w:val="00C645C9"/>
    <w:rsid w:val="00C67878"/>
    <w:rsid w:val="00C67AD8"/>
    <w:rsid w:val="00C82620"/>
    <w:rsid w:val="00C97644"/>
    <w:rsid w:val="00CA1C60"/>
    <w:rsid w:val="00CB20BE"/>
    <w:rsid w:val="00CB6E37"/>
    <w:rsid w:val="00CC427E"/>
    <w:rsid w:val="00CC4860"/>
    <w:rsid w:val="00CD2506"/>
    <w:rsid w:val="00CE7E0B"/>
    <w:rsid w:val="00CF170A"/>
    <w:rsid w:val="00D007E5"/>
    <w:rsid w:val="00D24364"/>
    <w:rsid w:val="00D32B69"/>
    <w:rsid w:val="00D409BB"/>
    <w:rsid w:val="00D80C33"/>
    <w:rsid w:val="00D832EA"/>
    <w:rsid w:val="00D83F9D"/>
    <w:rsid w:val="00D91956"/>
    <w:rsid w:val="00D95DAA"/>
    <w:rsid w:val="00DD001E"/>
    <w:rsid w:val="00DF5859"/>
    <w:rsid w:val="00E002B4"/>
    <w:rsid w:val="00E00765"/>
    <w:rsid w:val="00E009E2"/>
    <w:rsid w:val="00E018E3"/>
    <w:rsid w:val="00E06F4F"/>
    <w:rsid w:val="00E32246"/>
    <w:rsid w:val="00E45DCF"/>
    <w:rsid w:val="00E50728"/>
    <w:rsid w:val="00E50C3C"/>
    <w:rsid w:val="00E6175D"/>
    <w:rsid w:val="00E7196F"/>
    <w:rsid w:val="00E73822"/>
    <w:rsid w:val="00E77AFC"/>
    <w:rsid w:val="00E81466"/>
    <w:rsid w:val="00EB01AA"/>
    <w:rsid w:val="00EB37D4"/>
    <w:rsid w:val="00EB5DBB"/>
    <w:rsid w:val="00EC1795"/>
    <w:rsid w:val="00EC3F5C"/>
    <w:rsid w:val="00EF3D12"/>
    <w:rsid w:val="00F04A85"/>
    <w:rsid w:val="00F11C82"/>
    <w:rsid w:val="00F1399F"/>
    <w:rsid w:val="00F14296"/>
    <w:rsid w:val="00F243EC"/>
    <w:rsid w:val="00F24B35"/>
    <w:rsid w:val="00F26DFE"/>
    <w:rsid w:val="00F30283"/>
    <w:rsid w:val="00F316C0"/>
    <w:rsid w:val="00F319D7"/>
    <w:rsid w:val="00F34829"/>
    <w:rsid w:val="00F56413"/>
    <w:rsid w:val="00F82981"/>
    <w:rsid w:val="00F8742A"/>
    <w:rsid w:val="00F9664E"/>
    <w:rsid w:val="00FA6E48"/>
    <w:rsid w:val="00FB1D51"/>
    <w:rsid w:val="00FB5A06"/>
    <w:rsid w:val="00FC3191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CE1A8E"/>
  <w15:docId w15:val="{48B7B5A5-AD45-4551-A587-EC13CF63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4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2673"/>
    <w:pPr>
      <w:ind w:left="720"/>
      <w:contextualSpacing/>
    </w:pPr>
  </w:style>
  <w:style w:type="paragraph" w:customStyle="1" w:styleId="Default">
    <w:name w:val="Default"/>
    <w:rsid w:val="00492B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0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01EA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98E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497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6E48"/>
  </w:style>
  <w:style w:type="paragraph" w:styleId="ab">
    <w:name w:val="footer"/>
    <w:basedOn w:val="a"/>
    <w:link w:val="ac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6E48"/>
  </w:style>
  <w:style w:type="paragraph" w:styleId="ad">
    <w:name w:val="Revision"/>
    <w:hidden/>
    <w:uiPriority w:val="99"/>
    <w:semiHidden/>
    <w:rsid w:val="006E2B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C14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8E7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8E76D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af">
    <w:name w:val="No Spacing"/>
    <w:link w:val="af0"/>
    <w:uiPriority w:val="1"/>
    <w:qFormat/>
    <w:rsid w:val="008E76D5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8E76D5"/>
    <w:rPr>
      <w:rFonts w:eastAsiaTheme="minorEastAsia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192857"/>
    <w:pPr>
      <w:spacing w:after="100"/>
      <w:ind w:left="220"/>
    </w:pPr>
  </w:style>
  <w:style w:type="character" w:styleId="af1">
    <w:name w:val="Strong"/>
    <w:basedOn w:val="a0"/>
    <w:uiPriority w:val="22"/>
    <w:qFormat/>
    <w:rsid w:val="004868B3"/>
    <w:rPr>
      <w:b/>
      <w:bCs/>
    </w:rPr>
  </w:style>
  <w:style w:type="character" w:customStyle="1" w:styleId="apple-converted-space">
    <w:name w:val="apple-converted-space"/>
    <w:basedOn w:val="a0"/>
    <w:rsid w:val="00AC44AC"/>
  </w:style>
  <w:style w:type="character" w:styleId="af2">
    <w:name w:val="annotation reference"/>
    <w:basedOn w:val="a0"/>
    <w:uiPriority w:val="99"/>
    <w:semiHidden/>
    <w:unhideWhenUsed/>
    <w:rsid w:val="00EB5DB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B5DBB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B5DBB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B5DB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B5D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16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5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844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5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12369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29518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8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FD5AE0298AB1B47EBC6AFFE8B2BA3B44869685DA9412078E4EE58BE74C128B03551DFF37907FF29DD5B71128BBEF17CC54E54D126055EEz5p3P" TargetMode="External"/><Relationship Id="rId13" Type="http://schemas.openxmlformats.org/officeDocument/2006/relationships/hyperlink" Target="https://gazpromenergo.gazprom.ru/investors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azpromenergo.gazpro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42F0F45B81BD794A377B40038242135164D94FB96589B28CDFC99E732E833347AB512F939B7743042B0A41F0F9D82C98119420E8Aj7w2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FD5AE0298AB1B47EBC6AFFE8B2BA3B44869685DA9712078E4EE58BE74C128B03551DFF379078F595D5B71128BBEF17CC54E54D126055EEz5p3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B2238-9621-4EE4-9087-AB3ADA6E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19</Pages>
  <Words>7032</Words>
  <Characters>40083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Худяков Александр Сергеевич</cp:lastModifiedBy>
  <cp:revision>187</cp:revision>
  <cp:lastPrinted>2020-03-25T11:58:00Z</cp:lastPrinted>
  <dcterms:created xsi:type="dcterms:W3CDTF">2020-03-15T22:57:00Z</dcterms:created>
  <dcterms:modified xsi:type="dcterms:W3CDTF">2024-06-18T07:57:00Z</dcterms:modified>
</cp:coreProperties>
</file>